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5AF29" w14:textId="1B2789A3" w:rsidR="003E6429" w:rsidRDefault="001C3317">
      <w:r>
        <w:rPr>
          <w:noProof/>
        </w:rPr>
        <w:drawing>
          <wp:inline distT="0" distB="0" distL="0" distR="0" wp14:anchorId="3CD3EBD1" wp14:editId="3874E410">
            <wp:extent cx="2762250" cy="703398"/>
            <wp:effectExtent l="0" t="0" r="0" b="1905"/>
            <wp:docPr id="1601890906" name="Picture 2" descr="Be Ahead of the Game logo and Victoria State Government logo in gre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890906" name="Picture 2" descr="Be Ahead of the Game logo and Victoria State Government logo in green.">
                      <a:extLst>
                        <a:ext uri="{C183D7F6-B498-43B3-948B-1728B52AA6E4}">
                          <adec:decorative xmlns:adec="http://schemas.microsoft.com/office/drawing/2017/decorative" val="0"/>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167" t="22868" r="167" b="24031"/>
                    <a:stretch>
                      <a:fillRect/>
                    </a:stretch>
                  </pic:blipFill>
                  <pic:spPr bwMode="auto">
                    <a:xfrm>
                      <a:off x="0" y="0"/>
                      <a:ext cx="2784200" cy="708988"/>
                    </a:xfrm>
                    <a:prstGeom prst="rect">
                      <a:avLst/>
                    </a:prstGeom>
                    <a:noFill/>
                    <a:ln>
                      <a:noFill/>
                    </a:ln>
                    <a:extLst>
                      <a:ext uri="{53640926-AAD7-44D8-BBD7-CCE9431645EC}">
                        <a14:shadowObscured xmlns:a14="http://schemas.microsoft.com/office/drawing/2010/main"/>
                      </a:ext>
                    </a:extLst>
                  </pic:spPr>
                </pic:pic>
              </a:graphicData>
            </a:graphic>
          </wp:inline>
        </w:drawing>
      </w:r>
    </w:p>
    <w:p w14:paraId="475B70C0" w14:textId="77777777" w:rsidR="001C3317" w:rsidRDefault="001C3317"/>
    <w:p w14:paraId="3E125424" w14:textId="06AA8BB6" w:rsidR="001C3317" w:rsidRDefault="00995234" w:rsidP="00936818">
      <w:pPr>
        <w:pStyle w:val="Title"/>
      </w:pPr>
      <w:r>
        <w:t>The Bridge</w:t>
      </w:r>
      <w:r w:rsidR="00037286">
        <w:t xml:space="preserve">: </w:t>
      </w:r>
      <w:r w:rsidR="00037286" w:rsidRPr="00037286">
        <w:t>A school education program about the risks of online gaming.</w:t>
      </w:r>
    </w:p>
    <w:p w14:paraId="4B232A9B" w14:textId="45FC7602" w:rsidR="008B0ACD" w:rsidRPr="008B0ACD" w:rsidRDefault="008B0ACD" w:rsidP="003D6880">
      <w:pPr>
        <w:pStyle w:val="Subtitle"/>
      </w:pPr>
      <w:r w:rsidRPr="008B0ACD">
        <w:t>FINALIST 2022 VicHealth Future Healthy Award</w:t>
      </w:r>
    </w:p>
    <w:p w14:paraId="0F912828" w14:textId="716501B6" w:rsidR="00936818" w:rsidRDefault="00936818" w:rsidP="00936818">
      <w:pPr>
        <w:pStyle w:val="Heading1"/>
      </w:pPr>
      <w:r>
        <w:t>Introduction</w:t>
      </w:r>
    </w:p>
    <w:p w14:paraId="468EA87F" w14:textId="5D816E92" w:rsidR="001C3317" w:rsidRDefault="00037286">
      <w:r w:rsidRPr="00037286">
        <w:t>The Bridge is a free, creative program for upper primary school students that explores the potential risks of online gaming. It has been developed for use by all teachers, regardless of their knowledge and experience of gaming.</w:t>
      </w:r>
    </w:p>
    <w:p w14:paraId="4BF644E4" w14:textId="77777777" w:rsidR="00D32BB1" w:rsidRDefault="00D32BB1" w:rsidP="001C3317">
      <w:r w:rsidRPr="00D32BB1">
        <w:t xml:space="preserve">The program includes: </w:t>
      </w:r>
    </w:p>
    <w:p w14:paraId="0A9505B1" w14:textId="77777777" w:rsidR="00D32BB1" w:rsidRDefault="00D32BB1" w:rsidP="00D32BB1">
      <w:pPr>
        <w:pStyle w:val="ListParagraph"/>
        <w:numPr>
          <w:ilvl w:val="0"/>
          <w:numId w:val="4"/>
        </w:numPr>
      </w:pPr>
      <w:r w:rsidRPr="00D32BB1">
        <w:t xml:space="preserve">Victorian curriculum links (levels 5 and 6) </w:t>
      </w:r>
    </w:p>
    <w:p w14:paraId="341E1A14" w14:textId="77777777" w:rsidR="00D32BB1" w:rsidRDefault="00D32BB1" w:rsidP="00D32BB1">
      <w:pPr>
        <w:pStyle w:val="ListParagraph"/>
        <w:numPr>
          <w:ilvl w:val="0"/>
          <w:numId w:val="4"/>
        </w:numPr>
      </w:pPr>
      <w:r w:rsidRPr="00D32BB1">
        <w:t xml:space="preserve">teaching resources, including starters, discussion themes, learning intentions </w:t>
      </w:r>
    </w:p>
    <w:p w14:paraId="49C53994" w14:textId="77777777" w:rsidR="00D32BB1" w:rsidRDefault="00D32BB1" w:rsidP="00D32BB1">
      <w:pPr>
        <w:pStyle w:val="ListParagraph"/>
        <w:numPr>
          <w:ilvl w:val="0"/>
          <w:numId w:val="4"/>
        </w:numPr>
      </w:pPr>
      <w:r w:rsidRPr="00D32BB1">
        <w:t xml:space="preserve">animated videos and kinaesthetic learning activities </w:t>
      </w:r>
    </w:p>
    <w:p w14:paraId="7C5D0A6E" w14:textId="0BAE9D50" w:rsidR="00F056D6" w:rsidRDefault="00D32BB1" w:rsidP="00F056D6">
      <w:pPr>
        <w:pStyle w:val="ListParagraph"/>
        <w:numPr>
          <w:ilvl w:val="0"/>
          <w:numId w:val="4"/>
        </w:numPr>
      </w:pPr>
      <w:r w:rsidRPr="00D32BB1">
        <w:t>strategies for managing risks and staying safe.</w:t>
      </w:r>
    </w:p>
    <w:p w14:paraId="4F9E5640" w14:textId="77777777" w:rsidR="00DD7B27" w:rsidRDefault="00DD7B27" w:rsidP="00DD7B27">
      <w:pPr>
        <w:pStyle w:val="ListParagraph"/>
      </w:pPr>
    </w:p>
    <w:p w14:paraId="46C71B0E" w14:textId="77777777" w:rsidR="00DD7B27" w:rsidRDefault="00DD7B27" w:rsidP="001C3317">
      <w:pPr>
        <w:rPr>
          <w:b/>
          <w:bCs/>
        </w:rPr>
      </w:pPr>
    </w:p>
    <w:p w14:paraId="12BE92E2" w14:textId="602000AF" w:rsidR="00D12DEE" w:rsidRPr="009B4064" w:rsidRDefault="00D12DEE" w:rsidP="001C3317">
      <w:pPr>
        <w:rPr>
          <w:b/>
          <w:bCs/>
        </w:rPr>
      </w:pPr>
      <w:r w:rsidRPr="009B4064">
        <w:rPr>
          <w:b/>
          <w:bCs/>
        </w:rPr>
        <w:t>Quote</w:t>
      </w:r>
      <w:r w:rsidR="009B4064" w:rsidRPr="009B4064">
        <w:rPr>
          <w:b/>
          <w:bCs/>
        </w:rPr>
        <w:t xml:space="preserve"> from </w:t>
      </w:r>
      <w:r w:rsidR="009B4064" w:rsidRPr="009B4064">
        <w:rPr>
          <w:b/>
          <w:bCs/>
        </w:rPr>
        <w:t>Jess and Chris, Teachers from Altona North Primary School</w:t>
      </w:r>
      <w:r w:rsidR="009B4064" w:rsidRPr="009B4064">
        <w:rPr>
          <w:b/>
          <w:bCs/>
        </w:rPr>
        <w:t>:</w:t>
      </w:r>
    </w:p>
    <w:p w14:paraId="7E0DA569" w14:textId="77777777" w:rsidR="006F1FDA" w:rsidRDefault="00D12DEE" w:rsidP="000D5EA5">
      <w:pPr>
        <w:pStyle w:val="Quote"/>
      </w:pPr>
      <w:r w:rsidRPr="00D12DEE">
        <w:t>The Bridge Program is an incredible opportunity for students to develop a deep understanding about the risks of online gaming through engaging learning tasks.</w:t>
      </w:r>
    </w:p>
    <w:p w14:paraId="7ACA0000" w14:textId="77777777" w:rsidR="00DD7B27" w:rsidRDefault="00DD7B27" w:rsidP="00DD7B27"/>
    <w:p w14:paraId="1E2BE030" w14:textId="77F12FF7" w:rsidR="002E24B5" w:rsidRDefault="002E24B5" w:rsidP="003D6880">
      <w:pPr>
        <w:pStyle w:val="Heading1"/>
      </w:pPr>
      <w:r w:rsidRPr="002E24B5">
        <w:t>What is The Bridge?</w:t>
      </w:r>
    </w:p>
    <w:p w14:paraId="6995447D" w14:textId="144440CC" w:rsidR="002E24B5" w:rsidRDefault="002E24B5" w:rsidP="001C3317">
      <w:r w:rsidRPr="002E24B5">
        <w:t>The Bridge is the name of a fictitious online video game. Throughout the program, students follow the journey of a character named Helmette, who becomes increasingly drawn into the game at the expense of their time, relationships and wellbeing. The Bridge not only raises young people’s awareness and understanding of the potential risks associated with online gaming, which also apply to gambling, it provides them with tools to manage the risks.</w:t>
      </w:r>
    </w:p>
    <w:p w14:paraId="66B4B65B" w14:textId="77777777" w:rsidR="004F72CB" w:rsidRDefault="004F72CB" w:rsidP="001C3317"/>
    <w:p w14:paraId="5C181611" w14:textId="77777777" w:rsidR="003D6880" w:rsidRDefault="004F72CB" w:rsidP="003D6880">
      <w:pPr>
        <w:pStyle w:val="Heading1"/>
      </w:pPr>
      <w:r w:rsidRPr="004F72CB">
        <w:lastRenderedPageBreak/>
        <w:t xml:space="preserve">What are the risks of gaming? </w:t>
      </w:r>
    </w:p>
    <w:p w14:paraId="0EBF5B87" w14:textId="77777777" w:rsidR="0026507C" w:rsidRDefault="004F72CB" w:rsidP="001C3317">
      <w:r w:rsidRPr="004F72CB">
        <w:t xml:space="preserve">Online games can be fun, creative, and good for children’s emotional, social and cognitive development. But there are also risks. </w:t>
      </w:r>
    </w:p>
    <w:p w14:paraId="2BE79650" w14:textId="77777777" w:rsidR="009F7863" w:rsidRDefault="004F72CB" w:rsidP="001C3317">
      <w:r w:rsidRPr="004F72CB">
        <w:t xml:space="preserve">The Bridge program’s whole-of-school approach helps kids, parents, carers and teachers to understand: </w:t>
      </w:r>
    </w:p>
    <w:p w14:paraId="38F3A576" w14:textId="77777777" w:rsidR="009F7863" w:rsidRDefault="004F72CB" w:rsidP="009F7863">
      <w:pPr>
        <w:pStyle w:val="ListParagraph"/>
        <w:numPr>
          <w:ilvl w:val="0"/>
          <w:numId w:val="5"/>
        </w:numPr>
      </w:pPr>
      <w:r w:rsidRPr="004F72CB">
        <w:t xml:space="preserve">how games can trick us into playing longer and spending more money than intended </w:t>
      </w:r>
    </w:p>
    <w:p w14:paraId="6DECA5EF" w14:textId="77777777" w:rsidR="009F7863" w:rsidRDefault="004F72CB" w:rsidP="009F7863">
      <w:pPr>
        <w:pStyle w:val="ListParagraph"/>
        <w:numPr>
          <w:ilvl w:val="0"/>
          <w:numId w:val="5"/>
        </w:numPr>
      </w:pPr>
      <w:r w:rsidRPr="004F72CB">
        <w:t xml:space="preserve">the gambling-like elements in games, such as loot boxes </w:t>
      </w:r>
    </w:p>
    <w:p w14:paraId="32AE85C9" w14:textId="77777777" w:rsidR="009F7863" w:rsidRDefault="004F72CB" w:rsidP="009F7863">
      <w:pPr>
        <w:pStyle w:val="ListParagraph"/>
        <w:numPr>
          <w:ilvl w:val="0"/>
          <w:numId w:val="5"/>
        </w:numPr>
      </w:pPr>
      <w:r w:rsidRPr="004F72CB">
        <w:t xml:space="preserve">why it can be difficult to stop gaming </w:t>
      </w:r>
    </w:p>
    <w:p w14:paraId="08677284" w14:textId="5B2EEFB3" w:rsidR="004F72CB" w:rsidRDefault="004F72CB" w:rsidP="009F7863">
      <w:pPr>
        <w:pStyle w:val="ListParagraph"/>
        <w:numPr>
          <w:ilvl w:val="0"/>
          <w:numId w:val="5"/>
        </w:numPr>
      </w:pPr>
      <w:r w:rsidRPr="004F72CB">
        <w:t>when a young person’s online gaming might be affecting their wellbeing.</w:t>
      </w:r>
    </w:p>
    <w:p w14:paraId="08DC49B7" w14:textId="77777777" w:rsidR="003D6880" w:rsidRDefault="004F72CB" w:rsidP="003D6880">
      <w:pPr>
        <w:pStyle w:val="Heading1"/>
      </w:pPr>
      <w:r w:rsidRPr="004F72CB">
        <w:t xml:space="preserve">What is excessive video gaming? </w:t>
      </w:r>
    </w:p>
    <w:p w14:paraId="0CBAF05F" w14:textId="77777777" w:rsidR="00C94ABB" w:rsidRDefault="004F72CB" w:rsidP="001C3317">
      <w:r w:rsidRPr="004F72CB">
        <w:t xml:space="preserve">It’s difficult to put an exact figure on how much gaming is too much, which is why it is important to be alert to negative warning signs children may display. These can include: </w:t>
      </w:r>
    </w:p>
    <w:p w14:paraId="024A4F52" w14:textId="3078289E" w:rsidR="009F7863" w:rsidRDefault="004F72CB" w:rsidP="00C94ABB">
      <w:pPr>
        <w:pStyle w:val="ListParagraph"/>
        <w:numPr>
          <w:ilvl w:val="0"/>
          <w:numId w:val="6"/>
        </w:numPr>
      </w:pPr>
      <w:r w:rsidRPr="004F72CB">
        <w:t xml:space="preserve">prioritising gaming over all other activities </w:t>
      </w:r>
    </w:p>
    <w:p w14:paraId="5861B40E" w14:textId="77777777" w:rsidR="009F7863" w:rsidRDefault="004F72CB" w:rsidP="00C94ABB">
      <w:pPr>
        <w:pStyle w:val="ListParagraph"/>
        <w:numPr>
          <w:ilvl w:val="0"/>
          <w:numId w:val="6"/>
        </w:numPr>
      </w:pPr>
      <w:r w:rsidRPr="004F72CB">
        <w:t xml:space="preserve">losing interest in school, friends or hobbies </w:t>
      </w:r>
    </w:p>
    <w:p w14:paraId="1AD0F595" w14:textId="77777777" w:rsidR="009F7863" w:rsidRDefault="004F72CB" w:rsidP="00C94ABB">
      <w:pPr>
        <w:pStyle w:val="ListParagraph"/>
        <w:numPr>
          <w:ilvl w:val="0"/>
          <w:numId w:val="6"/>
        </w:numPr>
      </w:pPr>
      <w:r w:rsidRPr="004F72CB">
        <w:t xml:space="preserve">difficulty sleeping and poor eating habits </w:t>
      </w:r>
    </w:p>
    <w:p w14:paraId="5BEC5138" w14:textId="7E15865F" w:rsidR="004F72CB" w:rsidRDefault="004F72CB" w:rsidP="00C94ABB">
      <w:pPr>
        <w:pStyle w:val="ListParagraph"/>
        <w:numPr>
          <w:ilvl w:val="0"/>
          <w:numId w:val="6"/>
        </w:numPr>
      </w:pPr>
      <w:r w:rsidRPr="004F72CB">
        <w:t>becoming angry when asked to stop gaming.</w:t>
      </w:r>
    </w:p>
    <w:p w14:paraId="1B1B9045" w14:textId="77777777" w:rsidR="003D6880" w:rsidRDefault="008B0ACD" w:rsidP="003D6880">
      <w:pPr>
        <w:pStyle w:val="Heading1"/>
      </w:pPr>
      <w:r w:rsidRPr="008B0ACD">
        <w:t xml:space="preserve">Bring The Bridge into your classroom </w:t>
      </w:r>
    </w:p>
    <w:p w14:paraId="35809953" w14:textId="352538D7" w:rsidR="008B0ACD" w:rsidRDefault="008B0ACD" w:rsidP="001C3317">
      <w:r w:rsidRPr="008B0ACD">
        <w:t xml:space="preserve">Visit </w:t>
      </w:r>
      <w:hyperlink r:id="rId11" w:history="1">
        <w:r w:rsidRPr="00BD73CB">
          <w:rPr>
            <w:rStyle w:val="Hyperlink"/>
          </w:rPr>
          <w:t>beaheadofthegame.vic.gov.au/</w:t>
        </w:r>
        <w:proofErr w:type="spellStart"/>
        <w:r w:rsidRPr="00BD73CB">
          <w:rPr>
            <w:rStyle w:val="Hyperlink"/>
          </w:rPr>
          <w:t>thebridge</w:t>
        </w:r>
        <w:proofErr w:type="spellEnd"/>
      </w:hyperlink>
      <w:r w:rsidRPr="008B0ACD">
        <w:t xml:space="preserve"> to find out more and download the free teaching resources.</w:t>
      </w:r>
    </w:p>
    <w:p w14:paraId="51B0AB4C" w14:textId="08F68ED8" w:rsidR="00FF03B7" w:rsidRDefault="00FF03B7" w:rsidP="00880E57">
      <w:pPr>
        <w:pStyle w:val="Heading1"/>
      </w:pPr>
      <w:r>
        <w:t>Acknowledgements</w:t>
      </w:r>
    </w:p>
    <w:p w14:paraId="2E1A19BC" w14:textId="429EDF59" w:rsidR="00FF03B7" w:rsidRDefault="00FF03B7" w:rsidP="001C3317">
      <w:r>
        <w:t xml:space="preserve">The Bridge was developed in partnership </w:t>
      </w:r>
      <w:r w:rsidR="00461822">
        <w:t>with the</w:t>
      </w:r>
      <w:r w:rsidR="00211850">
        <w:t xml:space="preserve"> Victorian Department of Health </w:t>
      </w:r>
      <w:r w:rsidR="00461822">
        <w:t xml:space="preserve">and </w:t>
      </w:r>
      <w:r w:rsidR="00461822">
        <w:t xml:space="preserve">Kids Thrive </w:t>
      </w:r>
      <w:r w:rsidR="00211850">
        <w:t>w</w:t>
      </w:r>
      <w:r w:rsidR="00880E57">
        <w:t>i</w:t>
      </w:r>
      <w:r w:rsidR="00211850">
        <w:t>th additional funding from Creative Victoria</w:t>
      </w:r>
      <w:r w:rsidR="00880E57">
        <w:t>.</w:t>
      </w:r>
    </w:p>
    <w:p w14:paraId="33B732F1" w14:textId="7B15C196" w:rsidR="00936818" w:rsidRPr="001C3317" w:rsidRDefault="00936818" w:rsidP="001C3317">
      <w:r w:rsidRPr="00936818">
        <w:t xml:space="preserve">For more information about Be Ahead of the Game classroom resources, visit </w:t>
      </w:r>
      <w:hyperlink r:id="rId12" w:history="1">
        <w:r w:rsidRPr="006F1FDA">
          <w:rPr>
            <w:rStyle w:val="Hyperlink"/>
          </w:rPr>
          <w:t>beaheadofthegame.vic.gov.au</w:t>
        </w:r>
      </w:hyperlink>
      <w:r w:rsidR="006F1FDA">
        <w:t>.</w:t>
      </w:r>
    </w:p>
    <w:sectPr w:rsidR="00936818" w:rsidRPr="001C331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49C47" w14:textId="77777777" w:rsidR="00731A0F" w:rsidRDefault="00731A0F" w:rsidP="001C3317">
      <w:pPr>
        <w:spacing w:after="0" w:line="240" w:lineRule="auto"/>
      </w:pPr>
      <w:r>
        <w:separator/>
      </w:r>
    </w:p>
  </w:endnote>
  <w:endnote w:type="continuationSeparator" w:id="0">
    <w:p w14:paraId="04650905" w14:textId="77777777" w:rsidR="00731A0F" w:rsidRDefault="00731A0F" w:rsidP="001C3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8F45D" w14:textId="274E2D1B" w:rsidR="0076376A" w:rsidRDefault="0076376A">
    <w:pPr>
      <w:pStyle w:val="Footer"/>
    </w:pPr>
    <w:r>
      <w:rPr>
        <w:noProof/>
      </w:rPr>
      <mc:AlternateContent>
        <mc:Choice Requires="wps">
          <w:drawing>
            <wp:anchor distT="0" distB="0" distL="0" distR="0" simplePos="0" relativeHeight="251658241" behindDoc="0" locked="0" layoutInCell="1" allowOverlap="1" wp14:anchorId="7D253E92" wp14:editId="591B32B7">
              <wp:simplePos x="635" y="635"/>
              <wp:positionH relativeFrom="page">
                <wp:align>center</wp:align>
              </wp:positionH>
              <wp:positionV relativeFrom="page">
                <wp:align>bottom</wp:align>
              </wp:positionV>
              <wp:extent cx="656590" cy="398145"/>
              <wp:effectExtent l="0" t="0" r="10160" b="0"/>
              <wp:wrapNone/>
              <wp:docPr id="121675857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8145"/>
                      </a:xfrm>
                      <a:prstGeom prst="rect">
                        <a:avLst/>
                      </a:prstGeom>
                      <a:noFill/>
                      <a:ln>
                        <a:noFill/>
                      </a:ln>
                    </wps:spPr>
                    <wps:txbx>
                      <w:txbxContent>
                        <w:p w14:paraId="4861B483" w14:textId="6756D0BE" w:rsidR="0076376A" w:rsidRPr="0076376A" w:rsidRDefault="0076376A" w:rsidP="0076376A">
                          <w:pPr>
                            <w:spacing w:after="0"/>
                            <w:rPr>
                              <w:rFonts w:ascii="Arial Black" w:eastAsia="Arial Black" w:hAnsi="Arial Black" w:cs="Arial Black"/>
                              <w:noProof/>
                              <w:color w:val="000000"/>
                              <w:sz w:val="20"/>
                              <w:szCs w:val="20"/>
                            </w:rPr>
                          </w:pPr>
                          <w:r w:rsidRPr="0076376A">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253E92" id="_x0000_t202" coordsize="21600,21600" o:spt="202" path="m,l,21600r21600,l21600,xe">
              <v:stroke joinstyle="miter"/>
              <v:path gradientshapeok="t" o:connecttype="rect"/>
            </v:shapetype>
            <v:shape id="Text Box 4" o:spid="_x0000_s1026" type="#_x0000_t202" alt="OFFICIAL" style="position:absolute;margin-left:0;margin-top:0;width:51.7pt;height:31.3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" filled="f" stroked="f">
              <v:textbox style="mso-fit-shape-to-text:t" inset="0,0,0,15pt">
                <w:txbxContent>
                  <w:p w14:paraId="4861B483" w14:textId="6756D0BE" w:rsidR="0076376A" w:rsidRPr="0076376A" w:rsidRDefault="0076376A" w:rsidP="0076376A">
                    <w:pPr>
                      <w:spacing w:after="0"/>
                      <w:rPr>
                        <w:rFonts w:ascii="Arial Black" w:eastAsia="Arial Black" w:hAnsi="Arial Black" w:cs="Arial Black"/>
                        <w:noProof/>
                        <w:color w:val="000000"/>
                        <w:sz w:val="20"/>
                        <w:szCs w:val="20"/>
                      </w:rPr>
                    </w:pPr>
                    <w:r w:rsidRPr="0076376A">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7160A" w14:textId="4EC124AA" w:rsidR="00D72DB7" w:rsidRDefault="0076376A">
    <w:pPr>
      <w:pStyle w:val="Footer"/>
      <w:jc w:val="right"/>
    </w:pPr>
    <w:r>
      <w:rPr>
        <w:noProof/>
      </w:rPr>
      <mc:AlternateContent>
        <mc:Choice Requires="wps">
          <w:drawing>
            <wp:anchor distT="0" distB="0" distL="0" distR="0" simplePos="0" relativeHeight="251658242" behindDoc="0" locked="0" layoutInCell="1" allowOverlap="1" wp14:anchorId="62A85E74" wp14:editId="2C810582">
              <wp:simplePos x="914400" y="9867900"/>
              <wp:positionH relativeFrom="page">
                <wp:align>center</wp:align>
              </wp:positionH>
              <wp:positionV relativeFrom="page">
                <wp:align>bottom</wp:align>
              </wp:positionV>
              <wp:extent cx="656590" cy="398145"/>
              <wp:effectExtent l="0" t="0" r="10160" b="0"/>
              <wp:wrapNone/>
              <wp:docPr id="17444555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8145"/>
                      </a:xfrm>
                      <a:prstGeom prst="rect">
                        <a:avLst/>
                      </a:prstGeom>
                      <a:noFill/>
                      <a:ln>
                        <a:noFill/>
                      </a:ln>
                    </wps:spPr>
                    <wps:txbx>
                      <w:txbxContent>
                        <w:p w14:paraId="512390ED" w14:textId="5C7BAE76" w:rsidR="0076376A" w:rsidRPr="008467A6" w:rsidRDefault="0076376A" w:rsidP="0076376A">
                          <w:pPr>
                            <w:spacing w:after="0"/>
                            <w:rPr>
                              <w:rFonts w:ascii="Arial Black" w:eastAsia="Arial Black" w:hAnsi="Arial Black" w:cs="Arial Black"/>
                              <w:noProof/>
                              <w:color w:val="FFFFFF" w:themeColor="background1"/>
                              <w:sz w:val="20"/>
                              <w:szCs w:val="20"/>
                            </w:rPr>
                          </w:pPr>
                          <w:r w:rsidRPr="008467A6">
                            <w:rPr>
                              <w:rFonts w:ascii="Arial Black" w:eastAsia="Arial Black" w:hAnsi="Arial Black" w:cs="Arial Black"/>
                              <w:noProof/>
                              <w:color w:val="FFFFFF" w:themeColor="background1"/>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A85E74" id="_x0000_t202" coordsize="21600,21600" o:spt="202" path="m,l,21600r21600,l21600,xe">
              <v:stroke joinstyle="miter"/>
              <v:path gradientshapeok="t" o:connecttype="rect"/>
            </v:shapetype>
            <v:shape id="Text Box 5" o:spid="_x0000_s1027" type="#_x0000_t202" alt="OFFICIAL" style="position:absolute;left:0;text-align:left;margin-left:0;margin-top:0;width:51.7pt;height:31.3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" filled="f" stroked="f">
              <v:textbox style="mso-fit-shape-to-text:t" inset="0,0,0,15pt">
                <w:txbxContent>
                  <w:p w14:paraId="512390ED" w14:textId="5C7BAE76" w:rsidR="0076376A" w:rsidRPr="008467A6" w:rsidRDefault="0076376A" w:rsidP="0076376A">
                    <w:pPr>
                      <w:spacing w:after="0"/>
                      <w:rPr>
                        <w:rFonts w:ascii="Arial Black" w:eastAsia="Arial Black" w:hAnsi="Arial Black" w:cs="Arial Black"/>
                        <w:noProof/>
                        <w:color w:val="FFFFFF" w:themeColor="background1"/>
                        <w:sz w:val="20"/>
                        <w:szCs w:val="20"/>
                      </w:rPr>
                    </w:pPr>
                    <w:r w:rsidRPr="008467A6">
                      <w:rPr>
                        <w:rFonts w:ascii="Arial Black" w:eastAsia="Arial Black" w:hAnsi="Arial Black" w:cs="Arial Black"/>
                        <w:noProof/>
                        <w:color w:val="FFFFFF" w:themeColor="background1"/>
                        <w:sz w:val="20"/>
                        <w:szCs w:val="20"/>
                      </w:rPr>
                      <w:t>OFFICIAL</w:t>
                    </w:r>
                  </w:p>
                </w:txbxContent>
              </v:textbox>
              <w10:wrap anchorx="page" anchory="page"/>
            </v:shape>
          </w:pict>
        </mc:Fallback>
      </mc:AlternateContent>
    </w:r>
    <w:sdt>
      <w:sdtPr>
        <w:id w:val="-643426864"/>
        <w:docPartObj>
          <w:docPartGallery w:val="Page Numbers (Bottom of Page)"/>
          <w:docPartUnique/>
        </w:docPartObj>
      </w:sdtPr>
      <w:sdtEndPr>
        <w:rPr>
          <w:noProof/>
        </w:rPr>
      </w:sdtEndPr>
      <w:sdtContent>
        <w:r w:rsidR="00D72DB7">
          <w:fldChar w:fldCharType="begin"/>
        </w:r>
        <w:r w:rsidR="00D72DB7">
          <w:instrText xml:space="preserve"> PAGE   \* MERGEFORMAT </w:instrText>
        </w:r>
        <w:r w:rsidR="00D72DB7">
          <w:fldChar w:fldCharType="separate"/>
        </w:r>
        <w:r w:rsidR="00D72DB7">
          <w:rPr>
            <w:noProof/>
          </w:rPr>
          <w:t>2</w:t>
        </w:r>
        <w:r w:rsidR="00D72DB7">
          <w:rPr>
            <w:noProof/>
          </w:rPr>
          <w:fldChar w:fldCharType="end"/>
        </w:r>
      </w:sdtContent>
    </w:sdt>
  </w:p>
  <w:p w14:paraId="2705D37E" w14:textId="77777777" w:rsidR="00D72DB7" w:rsidRDefault="00D72D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3FA8" w14:textId="193A9DC4" w:rsidR="0076376A" w:rsidRDefault="0076376A">
    <w:pPr>
      <w:pStyle w:val="Footer"/>
    </w:pPr>
    <w:r>
      <w:rPr>
        <w:noProof/>
      </w:rPr>
      <mc:AlternateContent>
        <mc:Choice Requires="wps">
          <w:drawing>
            <wp:anchor distT="0" distB="0" distL="0" distR="0" simplePos="0" relativeHeight="251658240" behindDoc="0" locked="0" layoutInCell="1" allowOverlap="1" wp14:anchorId="78C327D0" wp14:editId="71143903">
              <wp:simplePos x="635" y="635"/>
              <wp:positionH relativeFrom="page">
                <wp:align>center</wp:align>
              </wp:positionH>
              <wp:positionV relativeFrom="page">
                <wp:align>bottom</wp:align>
              </wp:positionV>
              <wp:extent cx="656590" cy="398145"/>
              <wp:effectExtent l="0" t="0" r="10160" b="0"/>
              <wp:wrapNone/>
              <wp:docPr id="8276760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8145"/>
                      </a:xfrm>
                      <a:prstGeom prst="rect">
                        <a:avLst/>
                      </a:prstGeom>
                      <a:noFill/>
                      <a:ln>
                        <a:noFill/>
                      </a:ln>
                    </wps:spPr>
                    <wps:txbx>
                      <w:txbxContent>
                        <w:p w14:paraId="2E5176EC" w14:textId="064C1368" w:rsidR="0076376A" w:rsidRPr="0076376A" w:rsidRDefault="0076376A" w:rsidP="0076376A">
                          <w:pPr>
                            <w:spacing w:after="0"/>
                            <w:rPr>
                              <w:rFonts w:ascii="Arial Black" w:eastAsia="Arial Black" w:hAnsi="Arial Black" w:cs="Arial Black"/>
                              <w:noProof/>
                              <w:color w:val="000000"/>
                              <w:sz w:val="20"/>
                              <w:szCs w:val="20"/>
                            </w:rPr>
                          </w:pPr>
                          <w:r w:rsidRPr="0076376A">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C327D0" id="_x0000_t202" coordsize="21600,21600" o:spt="202" path="m,l,21600r21600,l21600,xe">
              <v:stroke joinstyle="miter"/>
              <v:path gradientshapeok="t" o:connecttype="rect"/>
            </v:shapetype>
            <v:shape id="Text Box 3" o:spid="_x0000_s1028" type="#_x0000_t202" alt="OFFICIAL" style="position:absolute;margin-left:0;margin-top:0;width:51.7pt;height:31.3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" filled="f" stroked="f">
              <v:textbox style="mso-fit-shape-to-text:t" inset="0,0,0,15pt">
                <w:txbxContent>
                  <w:p w14:paraId="2E5176EC" w14:textId="064C1368" w:rsidR="0076376A" w:rsidRPr="0076376A" w:rsidRDefault="0076376A" w:rsidP="0076376A">
                    <w:pPr>
                      <w:spacing w:after="0"/>
                      <w:rPr>
                        <w:rFonts w:ascii="Arial Black" w:eastAsia="Arial Black" w:hAnsi="Arial Black" w:cs="Arial Black"/>
                        <w:noProof/>
                        <w:color w:val="000000"/>
                        <w:sz w:val="20"/>
                        <w:szCs w:val="20"/>
                      </w:rPr>
                    </w:pPr>
                    <w:r w:rsidRPr="0076376A">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2018B" w14:textId="77777777" w:rsidR="00731A0F" w:rsidRDefault="00731A0F" w:rsidP="001C3317">
      <w:pPr>
        <w:spacing w:after="0" w:line="240" w:lineRule="auto"/>
      </w:pPr>
      <w:r>
        <w:separator/>
      </w:r>
    </w:p>
  </w:footnote>
  <w:footnote w:type="continuationSeparator" w:id="0">
    <w:p w14:paraId="3B593BCA" w14:textId="77777777" w:rsidR="00731A0F" w:rsidRDefault="00731A0F" w:rsidP="001C3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B49D6" w14:textId="77777777" w:rsidR="000D5EA5" w:rsidRDefault="000D5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ED8B" w14:textId="2A45789D" w:rsidR="001C3317" w:rsidRPr="001C3317" w:rsidRDefault="001C3317" w:rsidP="001C3317">
    <w:pPr>
      <w:pStyle w:val="Header"/>
      <w:jc w:val="right"/>
      <w:rPr>
        <w:b/>
        <w:bCs/>
      </w:rPr>
    </w:pPr>
    <w:r w:rsidRPr="001C3317">
      <w:rPr>
        <w:b/>
        <w:bCs/>
      </w:rPr>
      <w:t xml:space="preserve"> Information for teachers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E83E6" w14:textId="77777777" w:rsidR="000D5EA5" w:rsidRDefault="000D5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67B21"/>
    <w:multiLevelType w:val="hybridMultilevel"/>
    <w:tmpl w:val="C85024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B27859"/>
    <w:multiLevelType w:val="hybridMultilevel"/>
    <w:tmpl w:val="00A86458"/>
    <w:lvl w:ilvl="0" w:tplc="4DA64C4A">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7E0D92"/>
    <w:multiLevelType w:val="hybridMultilevel"/>
    <w:tmpl w:val="A6C8C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8FB4589"/>
    <w:multiLevelType w:val="hybridMultilevel"/>
    <w:tmpl w:val="B5EA6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817510F"/>
    <w:multiLevelType w:val="hybridMultilevel"/>
    <w:tmpl w:val="C366C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835352F"/>
    <w:multiLevelType w:val="hybridMultilevel"/>
    <w:tmpl w:val="2EFAA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23334349">
    <w:abstractNumId w:val="5"/>
  </w:num>
  <w:num w:numId="2" w16cid:durableId="1772508569">
    <w:abstractNumId w:val="1"/>
  </w:num>
  <w:num w:numId="3" w16cid:durableId="1271165532">
    <w:abstractNumId w:val="0"/>
  </w:num>
  <w:num w:numId="4" w16cid:durableId="419913305">
    <w:abstractNumId w:val="4"/>
  </w:num>
  <w:num w:numId="5" w16cid:durableId="2108233643">
    <w:abstractNumId w:val="2"/>
  </w:num>
  <w:num w:numId="6" w16cid:durableId="300041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317"/>
    <w:rsid w:val="00037286"/>
    <w:rsid w:val="000B776F"/>
    <w:rsid w:val="000D5EA5"/>
    <w:rsid w:val="00157B00"/>
    <w:rsid w:val="001C3317"/>
    <w:rsid w:val="00211850"/>
    <w:rsid w:val="0026507C"/>
    <w:rsid w:val="002E24B5"/>
    <w:rsid w:val="003D6880"/>
    <w:rsid w:val="003E6429"/>
    <w:rsid w:val="00461822"/>
    <w:rsid w:val="00477B16"/>
    <w:rsid w:val="004A7D05"/>
    <w:rsid w:val="004F72CB"/>
    <w:rsid w:val="00650338"/>
    <w:rsid w:val="006F1FDA"/>
    <w:rsid w:val="00716DCE"/>
    <w:rsid w:val="00731A0F"/>
    <w:rsid w:val="00745075"/>
    <w:rsid w:val="0076376A"/>
    <w:rsid w:val="008467A6"/>
    <w:rsid w:val="00880E57"/>
    <w:rsid w:val="00896451"/>
    <w:rsid w:val="008B0ACD"/>
    <w:rsid w:val="00936818"/>
    <w:rsid w:val="00995234"/>
    <w:rsid w:val="009B4064"/>
    <w:rsid w:val="009F7863"/>
    <w:rsid w:val="00A60AF1"/>
    <w:rsid w:val="00BD73CB"/>
    <w:rsid w:val="00C94ABB"/>
    <w:rsid w:val="00D12DEE"/>
    <w:rsid w:val="00D32BB1"/>
    <w:rsid w:val="00D72DB7"/>
    <w:rsid w:val="00D83FAD"/>
    <w:rsid w:val="00DD7B27"/>
    <w:rsid w:val="00F052E1"/>
    <w:rsid w:val="00F056D6"/>
    <w:rsid w:val="00FF03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51CCA"/>
  <w15:chartTrackingRefBased/>
  <w15:docId w15:val="{122EBF69-0EBC-4CFE-869B-161326BF3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33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C33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C33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33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33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33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3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3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3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3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C33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C33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33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33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33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3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3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317"/>
    <w:rPr>
      <w:rFonts w:eastAsiaTheme="majorEastAsia" w:cstheme="majorBidi"/>
      <w:color w:val="272727" w:themeColor="text1" w:themeTint="D8"/>
    </w:rPr>
  </w:style>
  <w:style w:type="paragraph" w:styleId="Title">
    <w:name w:val="Title"/>
    <w:basedOn w:val="Normal"/>
    <w:next w:val="Normal"/>
    <w:link w:val="TitleChar"/>
    <w:uiPriority w:val="10"/>
    <w:qFormat/>
    <w:rsid w:val="001C3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3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3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3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317"/>
    <w:pPr>
      <w:spacing w:before="160"/>
      <w:jc w:val="center"/>
    </w:pPr>
    <w:rPr>
      <w:i/>
      <w:iCs/>
      <w:color w:val="404040" w:themeColor="text1" w:themeTint="BF"/>
    </w:rPr>
  </w:style>
  <w:style w:type="character" w:customStyle="1" w:styleId="QuoteChar">
    <w:name w:val="Quote Char"/>
    <w:basedOn w:val="DefaultParagraphFont"/>
    <w:link w:val="Quote"/>
    <w:uiPriority w:val="29"/>
    <w:rsid w:val="001C3317"/>
    <w:rPr>
      <w:i/>
      <w:iCs/>
      <w:color w:val="404040" w:themeColor="text1" w:themeTint="BF"/>
    </w:rPr>
  </w:style>
  <w:style w:type="paragraph" w:styleId="ListParagraph">
    <w:name w:val="List Paragraph"/>
    <w:basedOn w:val="Normal"/>
    <w:uiPriority w:val="34"/>
    <w:qFormat/>
    <w:rsid w:val="001C3317"/>
    <w:pPr>
      <w:ind w:left="720"/>
      <w:contextualSpacing/>
    </w:pPr>
  </w:style>
  <w:style w:type="character" w:styleId="IntenseEmphasis">
    <w:name w:val="Intense Emphasis"/>
    <w:basedOn w:val="DefaultParagraphFont"/>
    <w:uiPriority w:val="21"/>
    <w:qFormat/>
    <w:rsid w:val="001C3317"/>
    <w:rPr>
      <w:i/>
      <w:iCs/>
      <w:color w:val="0F4761" w:themeColor="accent1" w:themeShade="BF"/>
    </w:rPr>
  </w:style>
  <w:style w:type="paragraph" w:styleId="IntenseQuote">
    <w:name w:val="Intense Quote"/>
    <w:basedOn w:val="Normal"/>
    <w:next w:val="Normal"/>
    <w:link w:val="IntenseQuoteChar"/>
    <w:uiPriority w:val="30"/>
    <w:qFormat/>
    <w:rsid w:val="001C33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3317"/>
    <w:rPr>
      <w:i/>
      <w:iCs/>
      <w:color w:val="0F4761" w:themeColor="accent1" w:themeShade="BF"/>
    </w:rPr>
  </w:style>
  <w:style w:type="character" w:styleId="IntenseReference">
    <w:name w:val="Intense Reference"/>
    <w:basedOn w:val="DefaultParagraphFont"/>
    <w:uiPriority w:val="32"/>
    <w:qFormat/>
    <w:rsid w:val="001C3317"/>
    <w:rPr>
      <w:b/>
      <w:bCs/>
      <w:smallCaps/>
      <w:color w:val="0F4761" w:themeColor="accent1" w:themeShade="BF"/>
      <w:spacing w:val="5"/>
    </w:rPr>
  </w:style>
  <w:style w:type="paragraph" w:styleId="Header">
    <w:name w:val="header"/>
    <w:basedOn w:val="Normal"/>
    <w:link w:val="HeaderChar"/>
    <w:uiPriority w:val="99"/>
    <w:unhideWhenUsed/>
    <w:rsid w:val="001C33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317"/>
  </w:style>
  <w:style w:type="paragraph" w:styleId="Footer">
    <w:name w:val="footer"/>
    <w:basedOn w:val="Normal"/>
    <w:link w:val="FooterChar"/>
    <w:uiPriority w:val="99"/>
    <w:unhideWhenUsed/>
    <w:rsid w:val="001C3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317"/>
  </w:style>
  <w:style w:type="character" w:styleId="Hyperlink">
    <w:name w:val="Hyperlink"/>
    <w:basedOn w:val="DefaultParagraphFont"/>
    <w:uiPriority w:val="99"/>
    <w:unhideWhenUsed/>
    <w:rsid w:val="00BD73CB"/>
    <w:rPr>
      <w:color w:val="467886" w:themeColor="hyperlink"/>
      <w:u w:val="single"/>
    </w:rPr>
  </w:style>
  <w:style w:type="character" w:styleId="UnresolvedMention">
    <w:name w:val="Unresolved Mention"/>
    <w:basedOn w:val="DefaultParagraphFont"/>
    <w:uiPriority w:val="99"/>
    <w:semiHidden/>
    <w:unhideWhenUsed/>
    <w:rsid w:val="00BD7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esponsiblegambling.vic.gov.au/reducing-harm/school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ponsiblegambling.vic.gov.au/reducing-harm/schools/the-bridg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E67805AD127A4C891525FB74F01F75" ma:contentTypeVersion="11" ma:contentTypeDescription="Create a new document." ma:contentTypeScope="" ma:versionID="c14373bda92b0ba4a3d7a2997a82f71a">
  <xsd:schema xmlns:xsd="http://www.w3.org/2001/XMLSchema" xmlns:xs="http://www.w3.org/2001/XMLSchema" xmlns:p="http://schemas.microsoft.com/office/2006/metadata/properties" xmlns:ns2="eb8175da-692f-4ffd-8d30-578a731ab18f" targetNamespace="http://schemas.microsoft.com/office/2006/metadata/properties" ma:root="true" ma:fieldsID="3f1c509668b04ddbf86d7e68cadffd7f" ns2:_="">
    <xsd:import namespace="eb8175da-692f-4ffd-8d30-578a731ab1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175da-692f-4ffd-8d30-578a731ab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8175da-692f-4ffd-8d30-578a731ab1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0459C7-6297-421F-9BC5-5D9AA191B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175da-692f-4ffd-8d30-578a731ab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F23C6E-B4D9-41AD-B007-D6B45BD987EC}">
  <ds:schemaRefs>
    <ds:schemaRef ds:uri="http://schemas.microsoft.com/sharepoint/v3/contenttype/forms"/>
  </ds:schemaRefs>
</ds:datastoreItem>
</file>

<file path=customXml/itemProps3.xml><?xml version="1.0" encoding="utf-8"?>
<ds:datastoreItem xmlns:ds="http://schemas.openxmlformats.org/officeDocument/2006/customXml" ds:itemID="{F186740C-BE36-4F2B-981F-41009CA5BC84}">
  <ds:schemaRefs>
    <ds:schemaRef ds:uri="http://schemas.microsoft.com/office/2006/metadata/properties"/>
    <ds:schemaRef ds:uri="http://schemas.microsoft.com/office/infopath/2007/PartnerControls"/>
    <ds:schemaRef ds:uri="eb8175da-692f-4ffd-8d30-578a731ab18f"/>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415</Words>
  <Characters>2377</Characters>
  <Application>Microsoft Office Word</Application>
  <DocSecurity>0</DocSecurity>
  <Lines>57</Lines>
  <Paragraphs>39</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
      <vt:lpstr>Introduction</vt:lpstr>
      <vt:lpstr>    Empowering young people to understand gambling risks </vt:lpstr>
      <vt:lpstr>Victorian Certificate of Education (VCE) Vocational Major (VM)</vt:lpstr>
      <vt:lpstr>    VCE VM Literacy</vt:lpstr>
      <vt:lpstr>        Love the Game (Unit 1)</vt:lpstr>
      <vt:lpstr>        Potential influences (Unit 3)</vt:lpstr>
      <vt:lpstr>    VCE VM Personal Development Skills </vt:lpstr>
      <vt:lpstr>        Knowing the score (Unit 2)</vt:lpstr>
      <vt:lpstr>        Knowing when it’s a concern (Unit 4)</vt:lpstr>
      <vt:lpstr>    VCE VM Numeracy </vt:lpstr>
      <vt:lpstr>        Finances and gambling (Unit 1): </vt:lpstr>
      <vt:lpstr>        What are the chances? (Unit 2)</vt:lpstr>
      <vt:lpstr>        Earnings and expenditure (Unit 3)</vt:lpstr>
      <vt:lpstr>        Odds and probability (Unit 4)</vt:lpstr>
      <vt:lpstr>VCE </vt:lpstr>
      <vt:lpstr>    VCE Health and Human Development (Unit 1) </vt:lpstr>
      <vt:lpstr>        ‘GAME ON.’ Gambling – a youth health issue</vt:lpstr>
      <vt:lpstr>    VCE Media studies (Units 1 and 2) </vt:lpstr>
      <vt:lpstr>        Representations of gambling in advertising</vt:lpstr>
      <vt:lpstr>        Explores gambling advertising. Students discuss the values represented in bettin</vt:lpstr>
      <vt:lpstr>Years 7 to 10 </vt:lpstr>
      <vt:lpstr>    Health and Physical Education (Years 7–10) </vt:lpstr>
      <vt:lpstr>        Lessons that help students learn about the risks and realities of gambling and g</vt:lpstr>
      <vt:lpstr>    Humanities (Year 10) </vt:lpstr>
      <vt:lpstr>        The role of regulation</vt:lpstr>
      <vt:lpstr>        Highlights the risks of gambling and how regulation helps to protect individuals</vt:lpstr>
      <vt:lpstr>        Risky business</vt:lpstr>
      <vt:lpstr>        Helps students understand the financial risks associated with gambling and how r</vt:lpstr>
      <vt:lpstr>Years 5 and 6 </vt:lpstr>
      <vt:lpstr>    The Bridge</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Hince (Health)</dc:creator>
  <cp:keywords/>
  <dc:description/>
  <cp:lastModifiedBy>Andrea Hince (Health)</cp:lastModifiedBy>
  <cp:revision>25</cp:revision>
  <dcterms:created xsi:type="dcterms:W3CDTF">2026-01-26T04:13:00Z</dcterms:created>
  <dcterms:modified xsi:type="dcterms:W3CDTF">2026-01-26T04:28:00Z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4eeeef5,4886432a,a65d3f7</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2026-01-26T00:00:31Z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e40d0c3f-7cee-4f77-abad-6022d57c4a1e</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y fmtid="{D5CDD505-2E9C-101B-9397-08002B2CF9AE}" pid="13" name="ContentTypeId">
    <vt:lpwstr>0x010100DCE67805AD127A4C891525FB74F01F75</vt:lpwstr>
  </property>
  <property fmtid="{D5CDD505-2E9C-101B-9397-08002B2CF9AE}" pid="14" name="docLang">
    <vt:lpwstr>en</vt:lpwstr>
  </property>
  <property fmtid="{D5CDD505-2E9C-101B-9397-08002B2CF9AE}" pid="15" name="MediaServiceImageTags">
    <vt:lpwstr/>
  </property>
</Properties>
</file>