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F29" w14:textId="1B2789A3" w:rsidR="003E6429" w:rsidRPr="009F7B6F" w:rsidRDefault="001C3317">
      <w:pPr>
        <w:rPr>
          <w:color w:val="000000" w:themeColor="text1"/>
        </w:rPr>
      </w:pPr>
      <w:r w:rsidRPr="009F7B6F">
        <w:rPr>
          <w:noProof/>
          <w:color w:val="000000" w:themeColor="text1"/>
        </w:rPr>
        <w:drawing>
          <wp:inline distT="0" distB="0" distL="0" distR="0" wp14:anchorId="3CD3EBD1" wp14:editId="4F067532">
            <wp:extent cx="2762250" cy="703398"/>
            <wp:effectExtent l="0" t="0" r="0" b="1905"/>
            <wp:docPr id="1601890906" name="Picture 2" descr="Be Ahead of the Game logo and Victoria State Government logo in gre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90906" name="Picture 2" descr="Be Ahead of the Game logo and Victoria State Government logo in green.">
                      <a:extLst>
                        <a:ext uri="{C183D7F6-B498-43B3-948B-1728B52AA6E4}">
                          <adec:decorative xmlns:adec="http://schemas.microsoft.com/office/drawing/2017/decorative" val="0"/>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67" t="22868" r="167" b="24031"/>
                    <a:stretch>
                      <a:fillRect/>
                    </a:stretch>
                  </pic:blipFill>
                  <pic:spPr bwMode="auto">
                    <a:xfrm>
                      <a:off x="0" y="0"/>
                      <a:ext cx="2784200" cy="708988"/>
                    </a:xfrm>
                    <a:prstGeom prst="rect">
                      <a:avLst/>
                    </a:prstGeom>
                    <a:noFill/>
                    <a:ln>
                      <a:noFill/>
                    </a:ln>
                    <a:extLst>
                      <a:ext uri="{53640926-AAD7-44D8-BBD7-CCE9431645EC}">
                        <a14:shadowObscured xmlns:a14="http://schemas.microsoft.com/office/drawing/2010/main"/>
                      </a:ext>
                    </a:extLst>
                  </pic:spPr>
                </pic:pic>
              </a:graphicData>
            </a:graphic>
          </wp:inline>
        </w:drawing>
      </w:r>
    </w:p>
    <w:p w14:paraId="475B70C0" w14:textId="77777777" w:rsidR="001C3317" w:rsidRPr="009F7B6F" w:rsidRDefault="001C3317">
      <w:pPr>
        <w:rPr>
          <w:color w:val="000000" w:themeColor="text1"/>
        </w:rPr>
      </w:pPr>
    </w:p>
    <w:p w14:paraId="3E125424" w14:textId="797878C5" w:rsidR="001C3317" w:rsidRPr="008079A7" w:rsidRDefault="009D296C" w:rsidP="008079A7">
      <w:pPr>
        <w:pStyle w:val="Title"/>
      </w:pPr>
      <w:r w:rsidRPr="008079A7">
        <w:t>Gambling among secondary school students</w:t>
      </w:r>
    </w:p>
    <w:p w14:paraId="27F24786" w14:textId="3A034113" w:rsidR="00AC483F" w:rsidRPr="009F7B6F" w:rsidRDefault="00C7144D" w:rsidP="00C7144D">
      <w:pPr>
        <w:rPr>
          <w:color w:val="000000" w:themeColor="text1"/>
        </w:rPr>
      </w:pPr>
      <w:r w:rsidRPr="009F7B6F">
        <w:rPr>
          <w:color w:val="000000" w:themeColor="text1"/>
        </w:rPr>
        <w:t>Key findings of a 2022/23 study into the attitudes, behaviour and exposure to gambling among secondary school students in Victoria and NSW.</w:t>
      </w:r>
      <w:r w:rsidR="00047A21" w:rsidRPr="00047A21">
        <w:rPr>
          <w:color w:val="000000" w:themeColor="text1"/>
          <w:vertAlign w:val="superscript"/>
        </w:rPr>
        <w:t>1</w:t>
      </w:r>
    </w:p>
    <w:p w14:paraId="31C798DE" w14:textId="40A25A8E" w:rsidR="00A61601" w:rsidRPr="008079A7" w:rsidRDefault="00A61601" w:rsidP="008079A7">
      <w:pPr>
        <w:pStyle w:val="Heading1"/>
      </w:pPr>
      <w:r w:rsidRPr="008079A7">
        <w:t xml:space="preserve">Almost 1 in 3 students in Victoria had ever gambled. </w:t>
      </w:r>
    </w:p>
    <w:p w14:paraId="71BCB2AF" w14:textId="7BB73E00" w:rsidR="00280A16" w:rsidRPr="009F7B6F" w:rsidRDefault="00C725D0" w:rsidP="00A61601">
      <w:pPr>
        <w:rPr>
          <w:color w:val="000000" w:themeColor="text1"/>
        </w:rPr>
      </w:pPr>
      <w:r w:rsidRPr="00C725D0">
        <w:rPr>
          <w:color w:val="000000" w:themeColor="text1"/>
        </w:rPr>
        <w:t>Percentage of Victorian students in this study aged 12 to 17 who had gambled:</w:t>
      </w:r>
    </w:p>
    <w:p w14:paraId="48018BE5" w14:textId="2C2DBD1C" w:rsidR="00A61601" w:rsidRPr="009F7B6F" w:rsidRDefault="00A61601" w:rsidP="009F7B6F">
      <w:pPr>
        <w:pStyle w:val="ListParagraph"/>
        <w:numPr>
          <w:ilvl w:val="0"/>
          <w:numId w:val="16"/>
        </w:numPr>
        <w:rPr>
          <w:color w:val="000000" w:themeColor="text1"/>
        </w:rPr>
      </w:pPr>
      <w:r w:rsidRPr="009F7B6F">
        <w:rPr>
          <w:color w:val="000000" w:themeColor="text1"/>
        </w:rPr>
        <w:t>Ever – 29%</w:t>
      </w:r>
    </w:p>
    <w:p w14:paraId="7E60A2AF" w14:textId="77777777" w:rsidR="00A61601" w:rsidRPr="009F7B6F" w:rsidRDefault="00A61601" w:rsidP="009F7B6F">
      <w:pPr>
        <w:pStyle w:val="ListParagraph"/>
        <w:numPr>
          <w:ilvl w:val="0"/>
          <w:numId w:val="16"/>
        </w:numPr>
        <w:rPr>
          <w:color w:val="000000" w:themeColor="text1"/>
        </w:rPr>
      </w:pPr>
      <w:r w:rsidRPr="009F7B6F">
        <w:rPr>
          <w:color w:val="000000" w:themeColor="text1"/>
        </w:rPr>
        <w:t>In the past year - 18%</w:t>
      </w:r>
    </w:p>
    <w:p w14:paraId="5C4E1340" w14:textId="77777777" w:rsidR="00A61601" w:rsidRPr="009F7B6F" w:rsidRDefault="00A61601" w:rsidP="009F7B6F">
      <w:pPr>
        <w:pStyle w:val="ListParagraph"/>
        <w:numPr>
          <w:ilvl w:val="0"/>
          <w:numId w:val="16"/>
        </w:numPr>
        <w:rPr>
          <w:color w:val="000000" w:themeColor="text1"/>
        </w:rPr>
      </w:pPr>
      <w:r w:rsidRPr="009F7B6F">
        <w:rPr>
          <w:color w:val="000000" w:themeColor="text1"/>
        </w:rPr>
        <w:t>In the past month – 7%</w:t>
      </w:r>
    </w:p>
    <w:p w14:paraId="3A848ED1" w14:textId="259B2E3A" w:rsidR="009F7B6F" w:rsidRDefault="00A61601" w:rsidP="008079A7">
      <w:pPr>
        <w:pStyle w:val="ListParagraph"/>
        <w:numPr>
          <w:ilvl w:val="0"/>
          <w:numId w:val="16"/>
        </w:numPr>
        <w:rPr>
          <w:color w:val="000000" w:themeColor="text1"/>
        </w:rPr>
      </w:pPr>
      <w:r w:rsidRPr="009F7B6F">
        <w:rPr>
          <w:color w:val="000000" w:themeColor="text1"/>
        </w:rPr>
        <w:t>In the past week – 4%</w:t>
      </w:r>
    </w:p>
    <w:p w14:paraId="3FF9F1D7" w14:textId="633EFD6E" w:rsidR="00883DBC" w:rsidRPr="00D817F1" w:rsidRDefault="00883DBC" w:rsidP="00D817F1">
      <w:pPr>
        <w:pStyle w:val="Heading1"/>
      </w:pPr>
      <w:r w:rsidRPr="00D817F1">
        <w:t>Concerning findings included that</w:t>
      </w:r>
      <w:r w:rsidR="008079A7" w:rsidRPr="00D817F1">
        <w:t xml:space="preserve"> </w:t>
      </w:r>
      <w:r w:rsidRPr="00D817F1">
        <w:t>9% of kids bet on sport in the past year.</w:t>
      </w:r>
    </w:p>
    <w:p w14:paraId="72BF9FD7" w14:textId="77777777" w:rsidR="00883DBC" w:rsidRPr="009F7B6F" w:rsidRDefault="00883DBC" w:rsidP="00E77AF1">
      <w:pPr>
        <w:rPr>
          <w:color w:val="000000" w:themeColor="text1"/>
        </w:rPr>
      </w:pPr>
      <w:r w:rsidRPr="009F7B6F">
        <w:rPr>
          <w:color w:val="000000" w:themeColor="text1"/>
        </w:rPr>
        <w:t>In the last 12 months, Victorian and NSW students gambled on:</w:t>
      </w:r>
    </w:p>
    <w:p w14:paraId="4927E880" w14:textId="0AD7E631" w:rsidR="00883DBC" w:rsidRPr="009F7B6F" w:rsidRDefault="00883DBC" w:rsidP="009F7B6F">
      <w:pPr>
        <w:pStyle w:val="ListParagraph"/>
        <w:numPr>
          <w:ilvl w:val="0"/>
          <w:numId w:val="15"/>
        </w:numPr>
        <w:rPr>
          <w:color w:val="000000" w:themeColor="text1"/>
        </w:rPr>
      </w:pPr>
      <w:r w:rsidRPr="009F7B6F">
        <w:rPr>
          <w:color w:val="000000" w:themeColor="text1"/>
        </w:rPr>
        <w:t>Raffle tickets – 9.</w:t>
      </w:r>
      <w:r w:rsidR="00C725D0">
        <w:rPr>
          <w:color w:val="000000" w:themeColor="text1"/>
        </w:rPr>
        <w:t>7</w:t>
      </w:r>
      <w:r w:rsidRPr="009F7B6F">
        <w:rPr>
          <w:color w:val="000000" w:themeColor="text1"/>
        </w:rPr>
        <w:t>%</w:t>
      </w:r>
    </w:p>
    <w:p w14:paraId="1B0F5C7B" w14:textId="6AFA457E" w:rsidR="00883DBC" w:rsidRPr="009F7B6F" w:rsidRDefault="00883DBC" w:rsidP="009F7B6F">
      <w:pPr>
        <w:pStyle w:val="ListParagraph"/>
        <w:numPr>
          <w:ilvl w:val="0"/>
          <w:numId w:val="15"/>
        </w:numPr>
        <w:rPr>
          <w:color w:val="000000" w:themeColor="text1"/>
        </w:rPr>
      </w:pPr>
      <w:r w:rsidRPr="009F7B6F">
        <w:rPr>
          <w:color w:val="000000" w:themeColor="text1"/>
        </w:rPr>
        <w:t>Personal skill games like darts or pool – 9</w:t>
      </w:r>
      <w:r w:rsidR="00C725D0">
        <w:rPr>
          <w:color w:val="000000" w:themeColor="text1"/>
        </w:rPr>
        <w:t>.4</w:t>
      </w:r>
      <w:r w:rsidRPr="009F7B6F">
        <w:rPr>
          <w:color w:val="000000" w:themeColor="text1"/>
        </w:rPr>
        <w:t>%</w:t>
      </w:r>
    </w:p>
    <w:p w14:paraId="375B9654" w14:textId="34ED6071" w:rsidR="00883DBC" w:rsidRPr="009F7B6F" w:rsidRDefault="00883DBC" w:rsidP="009F7B6F">
      <w:pPr>
        <w:pStyle w:val="ListParagraph"/>
        <w:numPr>
          <w:ilvl w:val="0"/>
          <w:numId w:val="15"/>
        </w:numPr>
        <w:rPr>
          <w:color w:val="000000" w:themeColor="text1"/>
        </w:rPr>
      </w:pPr>
      <w:r w:rsidRPr="009F7B6F">
        <w:rPr>
          <w:color w:val="000000" w:themeColor="text1"/>
        </w:rPr>
        <w:t xml:space="preserve">Sports – </w:t>
      </w:r>
      <w:r w:rsidR="00C725D0">
        <w:rPr>
          <w:color w:val="000000" w:themeColor="text1"/>
        </w:rPr>
        <w:t>8.9</w:t>
      </w:r>
      <w:r w:rsidRPr="009F7B6F">
        <w:rPr>
          <w:color w:val="000000" w:themeColor="text1"/>
        </w:rPr>
        <w:t>%</w:t>
      </w:r>
    </w:p>
    <w:p w14:paraId="4FA2DE78" w14:textId="4B286716" w:rsidR="00883DBC" w:rsidRPr="009F7B6F" w:rsidRDefault="00883DBC" w:rsidP="009F7B6F">
      <w:pPr>
        <w:pStyle w:val="ListParagraph"/>
        <w:numPr>
          <w:ilvl w:val="0"/>
          <w:numId w:val="15"/>
        </w:numPr>
        <w:rPr>
          <w:color w:val="000000" w:themeColor="text1"/>
        </w:rPr>
      </w:pPr>
      <w:r w:rsidRPr="009F7B6F">
        <w:rPr>
          <w:color w:val="000000" w:themeColor="text1"/>
        </w:rPr>
        <w:t>Instant scratchies – 7</w:t>
      </w:r>
      <w:r w:rsidR="00C725D0">
        <w:rPr>
          <w:color w:val="000000" w:themeColor="text1"/>
        </w:rPr>
        <w:t>.2</w:t>
      </w:r>
      <w:r w:rsidRPr="009F7B6F">
        <w:rPr>
          <w:color w:val="000000" w:themeColor="text1"/>
        </w:rPr>
        <w:t>%</w:t>
      </w:r>
    </w:p>
    <w:p w14:paraId="363D8626" w14:textId="53E0F2E5" w:rsidR="00883DBC" w:rsidRPr="009F7B6F" w:rsidRDefault="00883DBC" w:rsidP="00E05079">
      <w:pPr>
        <w:pStyle w:val="ListParagraph"/>
        <w:numPr>
          <w:ilvl w:val="0"/>
          <w:numId w:val="15"/>
        </w:numPr>
        <w:spacing w:before="240"/>
        <w:rPr>
          <w:color w:val="000000" w:themeColor="text1"/>
        </w:rPr>
      </w:pPr>
      <w:r w:rsidRPr="009F7B6F">
        <w:rPr>
          <w:color w:val="000000" w:themeColor="text1"/>
        </w:rPr>
        <w:t xml:space="preserve">Horse or dog races – </w:t>
      </w:r>
      <w:r w:rsidR="00C725D0">
        <w:rPr>
          <w:color w:val="000000" w:themeColor="text1"/>
        </w:rPr>
        <w:t>6.9</w:t>
      </w:r>
      <w:r w:rsidRPr="009F7B6F">
        <w:rPr>
          <w:color w:val="000000" w:themeColor="text1"/>
        </w:rPr>
        <w:t>%</w:t>
      </w:r>
    </w:p>
    <w:p w14:paraId="71503080" w14:textId="77777777" w:rsidR="00883DBC" w:rsidRPr="009F7B6F" w:rsidRDefault="00883DBC" w:rsidP="009F7B6F">
      <w:pPr>
        <w:pStyle w:val="ListParagraph"/>
        <w:numPr>
          <w:ilvl w:val="0"/>
          <w:numId w:val="15"/>
        </w:numPr>
        <w:rPr>
          <w:color w:val="000000" w:themeColor="text1"/>
        </w:rPr>
      </w:pPr>
      <w:r w:rsidRPr="009F7B6F">
        <w:rPr>
          <w:color w:val="000000" w:themeColor="text1"/>
        </w:rPr>
        <w:t>Pokies – 2.3%</w:t>
      </w:r>
    </w:p>
    <w:p w14:paraId="5A09BBFB" w14:textId="339C159E" w:rsidR="003D7D36" w:rsidRPr="00D817F1" w:rsidRDefault="003D7D36" w:rsidP="00D817F1">
      <w:pPr>
        <w:pStyle w:val="Heading1"/>
      </w:pPr>
      <w:r w:rsidRPr="00D817F1">
        <w:t>Students are mostly gambling at home and on their phones.</w:t>
      </w:r>
    </w:p>
    <w:p w14:paraId="3764AF27" w14:textId="1EBA892C" w:rsidR="003D7D36" w:rsidRPr="009F7B6F" w:rsidRDefault="003D7D36" w:rsidP="003D7D36">
      <w:pPr>
        <w:rPr>
          <w:color w:val="000000" w:themeColor="text1"/>
        </w:rPr>
      </w:pPr>
      <w:r w:rsidRPr="009F7B6F">
        <w:rPr>
          <w:color w:val="000000" w:themeColor="text1"/>
        </w:rPr>
        <w:t>Among Victorian students who gambled in the past year, they gambled:</w:t>
      </w:r>
    </w:p>
    <w:p w14:paraId="2CA0447C" w14:textId="7A0BDC8F" w:rsidR="003D7D36" w:rsidRPr="009F7B6F" w:rsidRDefault="003D7D36" w:rsidP="003D7D36">
      <w:pPr>
        <w:pStyle w:val="ListParagraph"/>
        <w:numPr>
          <w:ilvl w:val="0"/>
          <w:numId w:val="14"/>
        </w:numPr>
        <w:rPr>
          <w:color w:val="000000" w:themeColor="text1"/>
        </w:rPr>
      </w:pPr>
      <w:r w:rsidRPr="009F7B6F">
        <w:rPr>
          <w:color w:val="000000" w:themeColor="text1"/>
        </w:rPr>
        <w:t>at home or at a friend’s house</w:t>
      </w:r>
      <w:r w:rsidR="00FE10BD" w:rsidRPr="009F7B6F">
        <w:rPr>
          <w:color w:val="000000" w:themeColor="text1"/>
        </w:rPr>
        <w:t xml:space="preserve"> – </w:t>
      </w:r>
      <w:r w:rsidRPr="009F7B6F">
        <w:rPr>
          <w:color w:val="000000" w:themeColor="text1"/>
        </w:rPr>
        <w:t>57%</w:t>
      </w:r>
    </w:p>
    <w:p w14:paraId="1B70104E" w14:textId="34194ADE" w:rsidR="003D7D36" w:rsidRPr="009F7B6F" w:rsidRDefault="003D7D36" w:rsidP="003D7D36">
      <w:pPr>
        <w:pStyle w:val="ListParagraph"/>
        <w:numPr>
          <w:ilvl w:val="0"/>
          <w:numId w:val="14"/>
        </w:numPr>
        <w:rPr>
          <w:color w:val="000000" w:themeColor="text1"/>
        </w:rPr>
      </w:pPr>
      <w:r w:rsidRPr="009F7B6F">
        <w:rPr>
          <w:color w:val="000000" w:themeColor="text1"/>
        </w:rPr>
        <w:t>online using a mobile phone</w:t>
      </w:r>
      <w:r w:rsidR="00FE10BD" w:rsidRPr="009F7B6F">
        <w:rPr>
          <w:color w:val="000000" w:themeColor="text1"/>
        </w:rPr>
        <w:t xml:space="preserve"> – </w:t>
      </w:r>
      <w:r w:rsidRPr="009F7B6F">
        <w:rPr>
          <w:color w:val="000000" w:themeColor="text1"/>
        </w:rPr>
        <w:t>43%</w:t>
      </w:r>
    </w:p>
    <w:p w14:paraId="352E5036" w14:textId="0354FEA3" w:rsidR="003D7D36" w:rsidRPr="009F7B6F" w:rsidRDefault="003D7D36" w:rsidP="003D7D36">
      <w:pPr>
        <w:pStyle w:val="ListParagraph"/>
        <w:numPr>
          <w:ilvl w:val="0"/>
          <w:numId w:val="14"/>
        </w:numPr>
        <w:rPr>
          <w:color w:val="000000" w:themeColor="text1"/>
        </w:rPr>
      </w:pPr>
      <w:r w:rsidRPr="009F7B6F">
        <w:rPr>
          <w:color w:val="000000" w:themeColor="text1"/>
        </w:rPr>
        <w:lastRenderedPageBreak/>
        <w:t xml:space="preserve">online using a laptop or computer </w:t>
      </w:r>
      <w:r w:rsidR="00FE10BD" w:rsidRPr="009F7B6F">
        <w:rPr>
          <w:color w:val="000000" w:themeColor="text1"/>
        </w:rPr>
        <w:t>–</w:t>
      </w:r>
      <w:r w:rsidRPr="009F7B6F">
        <w:rPr>
          <w:color w:val="000000" w:themeColor="text1"/>
        </w:rPr>
        <w:t xml:space="preserve"> 32%</w:t>
      </w:r>
    </w:p>
    <w:p w14:paraId="77375986" w14:textId="08FE72D2" w:rsidR="00CE011B" w:rsidRPr="002A4EC9" w:rsidRDefault="00D817F1" w:rsidP="002A4EC9">
      <w:pPr>
        <w:pStyle w:val="ListParagraph"/>
        <w:numPr>
          <w:ilvl w:val="0"/>
          <w:numId w:val="14"/>
        </w:numPr>
        <w:rPr>
          <w:color w:val="000000" w:themeColor="text1"/>
        </w:rPr>
      </w:pPr>
      <w:r w:rsidRPr="00D817F1">
        <w:rPr>
          <w:color w:val="000000" w:themeColor="text1"/>
        </w:rPr>
        <w:t>online using a computer tablet (e.g., iPad)</w:t>
      </w:r>
      <w:r w:rsidR="00FE10BD" w:rsidRPr="009F7B6F">
        <w:rPr>
          <w:color w:val="000000" w:themeColor="text1"/>
        </w:rPr>
        <w:t xml:space="preserve"> – </w:t>
      </w:r>
      <w:r w:rsidR="003D7D36" w:rsidRPr="009F7B6F">
        <w:rPr>
          <w:color w:val="000000" w:themeColor="text1"/>
        </w:rPr>
        <w:t>22%</w:t>
      </w:r>
    </w:p>
    <w:p w14:paraId="0A54362A" w14:textId="5B0DFD07" w:rsidR="00FE10BD" w:rsidRPr="00D817F1" w:rsidRDefault="00FE10BD" w:rsidP="00D817F1">
      <w:pPr>
        <w:pStyle w:val="Heading1"/>
      </w:pPr>
      <w:r w:rsidRPr="00D817F1">
        <w:t>Most spend a little, but some spend a lot on gambling.</w:t>
      </w:r>
    </w:p>
    <w:p w14:paraId="52868393" w14:textId="30C2E0B4" w:rsidR="00FE10BD" w:rsidRPr="009F7B6F" w:rsidRDefault="00176016" w:rsidP="00176016">
      <w:pPr>
        <w:rPr>
          <w:color w:val="000000" w:themeColor="text1"/>
        </w:rPr>
      </w:pPr>
      <w:r w:rsidRPr="00176016">
        <w:rPr>
          <w:color w:val="000000" w:themeColor="text1"/>
        </w:rPr>
        <w:t>The median amount of money spent by all students who had gambled in the past month on gambling was $11–$20</w:t>
      </w:r>
      <w:r w:rsidR="00FE10BD" w:rsidRPr="009F7B6F">
        <w:rPr>
          <w:color w:val="000000" w:themeColor="text1"/>
        </w:rPr>
        <w:t>.</w:t>
      </w:r>
    </w:p>
    <w:p w14:paraId="5A0B75F4" w14:textId="2487965E" w:rsidR="00C93F15" w:rsidRPr="009F7B6F" w:rsidRDefault="00176016" w:rsidP="003D7D36">
      <w:pPr>
        <w:rPr>
          <w:color w:val="000000" w:themeColor="text1"/>
        </w:rPr>
      </w:pPr>
      <w:r w:rsidRPr="00176016">
        <w:rPr>
          <w:color w:val="000000" w:themeColor="text1"/>
        </w:rPr>
        <w:t>However, students who were classified as problem gamblers reported spending a median amount of over $150 on gambling in the last month</w:t>
      </w:r>
      <w:r>
        <w:rPr>
          <w:color w:val="000000" w:themeColor="text1"/>
        </w:rPr>
        <w:t>.</w:t>
      </w:r>
    </w:p>
    <w:p w14:paraId="23DC4FA6" w14:textId="2D15B408" w:rsidR="00C72030" w:rsidRPr="00D817F1" w:rsidRDefault="00F545C7" w:rsidP="00D817F1">
      <w:pPr>
        <w:pStyle w:val="Heading1"/>
      </w:pPr>
      <w:r w:rsidRPr="00F545C7">
        <w:t>Gambling ads play a role in influencing young people’s gambling behaviours and attitudes towards gambling.</w:t>
      </w:r>
    </w:p>
    <w:p w14:paraId="507F1850" w14:textId="6EEB1339" w:rsidR="00C72030" w:rsidRPr="009F7B6F" w:rsidRDefault="00F545C7" w:rsidP="00C72030">
      <w:pPr>
        <w:rPr>
          <w:color w:val="000000" w:themeColor="text1"/>
        </w:rPr>
      </w:pPr>
      <w:r w:rsidRPr="00F545C7">
        <w:rPr>
          <w:color w:val="000000" w:themeColor="text1"/>
        </w:rPr>
        <w:t>Students who had seen or heard four or more different types of advertisements for gambling in the last four weeks were significantly more likely to have ever gambled and to have gambled in the past year.</w:t>
      </w:r>
    </w:p>
    <w:p w14:paraId="36D487C9" w14:textId="77777777" w:rsidR="00C72030" w:rsidRPr="009F7B6F" w:rsidRDefault="00C72030" w:rsidP="00C72030">
      <w:pPr>
        <w:rPr>
          <w:color w:val="000000" w:themeColor="text1"/>
        </w:rPr>
      </w:pPr>
      <w:r w:rsidRPr="009F7B6F">
        <w:rPr>
          <w:color w:val="000000" w:themeColor="text1"/>
        </w:rPr>
        <w:t>Most commonly, students recalled seeing ads on:</w:t>
      </w:r>
    </w:p>
    <w:p w14:paraId="5B0BBAD9" w14:textId="77777777" w:rsidR="00C72030" w:rsidRPr="002A4EC9" w:rsidRDefault="00C72030" w:rsidP="002A4EC9">
      <w:pPr>
        <w:pStyle w:val="ListParagraph"/>
        <w:numPr>
          <w:ilvl w:val="0"/>
          <w:numId w:val="17"/>
        </w:numPr>
        <w:rPr>
          <w:color w:val="000000" w:themeColor="text1"/>
        </w:rPr>
      </w:pPr>
      <w:r w:rsidRPr="002A4EC9">
        <w:rPr>
          <w:color w:val="000000" w:themeColor="text1"/>
        </w:rPr>
        <w:t>TV – 50%</w:t>
      </w:r>
    </w:p>
    <w:p w14:paraId="6C0BFE3B" w14:textId="77777777" w:rsidR="00C72030" w:rsidRPr="002A4EC9" w:rsidRDefault="00C72030" w:rsidP="002A4EC9">
      <w:pPr>
        <w:pStyle w:val="ListParagraph"/>
        <w:numPr>
          <w:ilvl w:val="0"/>
          <w:numId w:val="17"/>
        </w:numPr>
        <w:rPr>
          <w:color w:val="000000" w:themeColor="text1"/>
        </w:rPr>
      </w:pPr>
      <w:r w:rsidRPr="002A4EC9">
        <w:rPr>
          <w:color w:val="000000" w:themeColor="text1"/>
        </w:rPr>
        <w:t>Websites – 22%</w:t>
      </w:r>
    </w:p>
    <w:p w14:paraId="232510C0" w14:textId="77777777" w:rsidR="00C72030" w:rsidRPr="002A4EC9" w:rsidRDefault="00C72030" w:rsidP="002A4EC9">
      <w:pPr>
        <w:pStyle w:val="ListParagraph"/>
        <w:numPr>
          <w:ilvl w:val="0"/>
          <w:numId w:val="17"/>
        </w:numPr>
        <w:rPr>
          <w:color w:val="000000" w:themeColor="text1"/>
        </w:rPr>
      </w:pPr>
      <w:r w:rsidRPr="002A4EC9">
        <w:rPr>
          <w:color w:val="000000" w:themeColor="text1"/>
        </w:rPr>
        <w:t>Social media – 21%</w:t>
      </w:r>
    </w:p>
    <w:p w14:paraId="60005E34" w14:textId="77777777" w:rsidR="00C72030" w:rsidRPr="002A4EC9" w:rsidRDefault="00C72030" w:rsidP="002A4EC9">
      <w:pPr>
        <w:pStyle w:val="ListParagraph"/>
        <w:numPr>
          <w:ilvl w:val="0"/>
          <w:numId w:val="17"/>
        </w:numPr>
        <w:rPr>
          <w:color w:val="000000" w:themeColor="text1"/>
        </w:rPr>
      </w:pPr>
      <w:r w:rsidRPr="002A4EC9">
        <w:rPr>
          <w:color w:val="000000" w:themeColor="text1"/>
        </w:rPr>
        <w:t>Radio – 21%</w:t>
      </w:r>
    </w:p>
    <w:p w14:paraId="2B94BF18" w14:textId="77777777" w:rsidR="002A4EC9" w:rsidRDefault="002A4EC9" w:rsidP="009F7B6F">
      <w:pPr>
        <w:rPr>
          <w:color w:val="000000" w:themeColor="text1"/>
        </w:rPr>
      </w:pPr>
    </w:p>
    <w:p w14:paraId="27F4A89B" w14:textId="70D80DC2" w:rsidR="009F7B6F" w:rsidRPr="009F7B6F" w:rsidRDefault="001C15E3" w:rsidP="009F7B6F">
      <w:pPr>
        <w:rPr>
          <w:b/>
          <w:bCs/>
          <w:color w:val="000000" w:themeColor="text1"/>
        </w:rPr>
      </w:pPr>
      <w:r w:rsidRPr="009F7B6F">
        <w:rPr>
          <w:color w:val="000000" w:themeColor="text1"/>
        </w:rPr>
        <w:br/>
      </w:r>
      <w:r w:rsidR="009F7B6F" w:rsidRPr="009F7B6F">
        <w:rPr>
          <w:b/>
          <w:bCs/>
          <w:color w:val="000000" w:themeColor="text1"/>
        </w:rPr>
        <w:t>Source:</w:t>
      </w:r>
    </w:p>
    <w:p w14:paraId="6FF5188C" w14:textId="77777777" w:rsidR="009F7B6F" w:rsidRDefault="009F7B6F" w:rsidP="009F7B6F">
      <w:pPr>
        <w:rPr>
          <w:color w:val="000000" w:themeColor="text1"/>
        </w:rPr>
      </w:pPr>
      <w:r w:rsidRPr="009F7B6F">
        <w:rPr>
          <w:color w:val="000000" w:themeColor="text1"/>
        </w:rPr>
        <w:t xml:space="preserve">Noble, N., Freund, M., Scully, M., Clapham, M., Leigh, L. (2025). </w:t>
      </w:r>
      <w:hyperlink r:id="rId12" w:history="1">
        <w:r w:rsidRPr="009F7B6F">
          <w:rPr>
            <w:rStyle w:val="Hyperlink"/>
            <w:color w:val="000000" w:themeColor="text1"/>
          </w:rPr>
          <w:t>The prevalence and correlates of gambling in secondary school students in Victoria and New South Wales</w:t>
        </w:r>
      </w:hyperlink>
      <w:r w:rsidRPr="009F7B6F">
        <w:rPr>
          <w:color w:val="000000" w:themeColor="text1"/>
        </w:rPr>
        <w:t>, Australia, 2022-23. State Government of Victoria, Melbourne.</w:t>
      </w:r>
    </w:p>
    <w:p w14:paraId="66A750BA" w14:textId="77777777" w:rsidR="002A4EC9" w:rsidRDefault="002A4EC9" w:rsidP="009F7B6F">
      <w:pPr>
        <w:rPr>
          <w:color w:val="000000" w:themeColor="text1"/>
        </w:rPr>
      </w:pPr>
    </w:p>
    <w:p w14:paraId="594093F6" w14:textId="77777777" w:rsidR="002A4EC9" w:rsidRPr="009F7B6F" w:rsidRDefault="002A4EC9" w:rsidP="009F7B6F">
      <w:pPr>
        <w:rPr>
          <w:color w:val="000000" w:themeColor="text1"/>
        </w:rPr>
      </w:pPr>
    </w:p>
    <w:p w14:paraId="737D148F" w14:textId="77777777" w:rsidR="00C93F15" w:rsidRPr="00F85D2D" w:rsidRDefault="00C93F15" w:rsidP="00C93F15">
      <w:pPr>
        <w:rPr>
          <w:b/>
          <w:bCs/>
          <w:color w:val="000000" w:themeColor="text1"/>
        </w:rPr>
      </w:pPr>
      <w:r w:rsidRPr="009203C6">
        <w:rPr>
          <w:i/>
          <w:iCs/>
          <w:noProof/>
          <w:color w:val="000000" w:themeColor="text1"/>
          <w:spacing w:val="-3"/>
        </w:rPr>
        <w:drawing>
          <wp:inline distT="0" distB="0" distL="0" distR="0" wp14:anchorId="0171900F" wp14:editId="7CB035F6">
            <wp:extent cx="901700" cy="901700"/>
            <wp:effectExtent l="0" t="0" r="0" b="0"/>
            <wp:docPr id="943119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19665" name=""/>
                    <pic:cNvPicPr/>
                  </pic:nvPicPr>
                  <pic:blipFill>
                    <a:blip r:embed="rId13"/>
                    <a:stretch>
                      <a:fillRect/>
                    </a:stretch>
                  </pic:blipFill>
                  <pic:spPr>
                    <a:xfrm>
                      <a:off x="0" y="0"/>
                      <a:ext cx="901700" cy="901700"/>
                    </a:xfrm>
                    <a:prstGeom prst="rect">
                      <a:avLst/>
                    </a:prstGeom>
                  </pic:spPr>
                </pic:pic>
              </a:graphicData>
            </a:graphic>
          </wp:inline>
        </w:drawing>
      </w:r>
    </w:p>
    <w:p w14:paraId="03CEC08F" w14:textId="1D793C2E" w:rsidR="001C15E3" w:rsidRPr="009F7B6F" w:rsidRDefault="00C93F15" w:rsidP="00A82E8F">
      <w:pPr>
        <w:rPr>
          <w:color w:val="000000" w:themeColor="text1"/>
        </w:rPr>
      </w:pPr>
      <w:r w:rsidRPr="00C93F15">
        <w:rPr>
          <w:color w:val="000000" w:themeColor="text1"/>
        </w:rPr>
        <w:t>For more information visit</w:t>
      </w:r>
      <w:r w:rsidRPr="00F85D2D">
        <w:rPr>
          <w:color w:val="000000" w:themeColor="text1"/>
        </w:rPr>
        <w:t xml:space="preserve"> </w:t>
      </w:r>
      <w:r w:rsidRPr="00F85D2D">
        <w:rPr>
          <w:b/>
          <w:bCs/>
          <w:color w:val="000000" w:themeColor="text1"/>
        </w:rPr>
        <w:t>beaheadofthegame.vic.gov.au</w:t>
      </w:r>
      <w:r w:rsidR="001C15E3" w:rsidRPr="009F7B6F">
        <w:rPr>
          <w:color w:val="000000" w:themeColor="text1"/>
        </w:rPr>
        <w:br/>
      </w:r>
    </w:p>
    <w:sectPr w:rsidR="001C15E3" w:rsidRPr="009F7B6F">
      <w:headerReference w:type="default" r:id="rId14"/>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C032" w14:textId="77777777" w:rsidR="002463E0" w:rsidRDefault="002463E0" w:rsidP="001C3317">
      <w:pPr>
        <w:spacing w:after="0" w:line="240" w:lineRule="auto"/>
      </w:pPr>
      <w:r>
        <w:separator/>
      </w:r>
    </w:p>
  </w:endnote>
  <w:endnote w:type="continuationSeparator" w:id="0">
    <w:p w14:paraId="0DA66EA2" w14:textId="77777777" w:rsidR="002463E0" w:rsidRDefault="002463E0" w:rsidP="001C3317">
      <w:pPr>
        <w:spacing w:after="0" w:line="240" w:lineRule="auto"/>
      </w:pPr>
      <w:r>
        <w:continuationSeparator/>
      </w:r>
    </w:p>
  </w:endnote>
  <w:endnote w:type="continuationNotice" w:id="1">
    <w:p w14:paraId="1D69D97C" w14:textId="77777777" w:rsidR="002463E0" w:rsidRDefault="00246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panose1 w:val="00000000000000000000"/>
    <w:charset w:val="00"/>
    <w:family w:val="auto"/>
    <w:notTrueType/>
    <w:pitch w:val="variable"/>
    <w:sig w:usb0="00000003" w:usb1="00000000" w:usb2="00000000" w:usb3="00000000" w:csb0="0000000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F45D" w14:textId="274E2D1B" w:rsidR="0076376A" w:rsidRDefault="0076376A">
    <w:pPr>
      <w:pStyle w:val="Footer"/>
    </w:pPr>
    <w:r>
      <w:rPr>
        <w:noProof/>
      </w:rPr>
      <mc:AlternateContent>
        <mc:Choice Requires="wps">
          <w:drawing>
            <wp:anchor distT="0" distB="0" distL="0" distR="0" simplePos="0" relativeHeight="251658241" behindDoc="0" locked="0" layoutInCell="1" allowOverlap="1" wp14:anchorId="7D253E92" wp14:editId="591B32B7">
              <wp:simplePos x="635" y="635"/>
              <wp:positionH relativeFrom="page">
                <wp:align>center</wp:align>
              </wp:positionH>
              <wp:positionV relativeFrom="page">
                <wp:align>bottom</wp:align>
              </wp:positionV>
              <wp:extent cx="656590" cy="398145"/>
              <wp:effectExtent l="0" t="0" r="10160" b="0"/>
              <wp:wrapNone/>
              <wp:docPr id="12167585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53E92" id="_x0000_t202" coordsize="21600,21600" o:spt="202" path="m,l,21600r21600,l21600,xe">
              <v:stroke joinstyle="miter"/>
              <v:path gradientshapeok="t" o:connecttype="rect"/>
            </v:shapetype>
            <v:shape id="Text Box 4" o:spid="_x0000_s1026" type="#_x0000_t202" alt="OFFICIAL" style="position:absolute;margin-left:0;margin-top:0;width:51.7pt;height:31.3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cf&#10;fNTeAAAACQEAAA8AAABkcnMvZG93bnJldi54bWxMj8FOwzAQRO9I/IO1SNyoQwKlSuNUqIhTEVJb&#10;Ltxce5ukxOso3rTp3+NyKZeRVqOZnVcsRteKI/ah8aTgcZKAQDLeNlQp+Nq+P8xABNZkdesJFZwx&#10;wKK8vSl0bv2J1njccCViCYVcK6iZu1zKYGp0Okx8hxS9ve+d5nj2lbS9PsVy18o0SabS6Ybih1p3&#10;uKzR/GwGp+B5zR/DJ22z7zE9H1bd0mT7lVHq/m58m0d5nYNgHPmagAtD3A9lHLbzA9kgWgWRhv/0&#10;4iXZE4idgmn6ArIs5H+C8hcAAP//AwBQSwECLQAUAAYACAAAACEAtoM4kv4AAADhAQAAEwAAAAAA&#10;AAAAAAAAAAAAAAAAW0NvbnRlbnRfVHlwZXNdLnhtbFBLAQItABQABgAIAAAAIQA4/SH/1gAAAJQB&#10;AAALAAAAAAAAAAAAAAAAAC8BAABfcmVscy8ucmVsc1BLAQItABQABgAIAAAAIQA0wfveCgIAABUE&#10;AAAOAAAAAAAAAAAAAAAAAC4CAABkcnMvZTJvRG9jLnhtbFBLAQItABQABgAIAAAAIQCHH3zU3gAA&#10;AAkBAAAPAAAAAAAAAAAAAAAAAGQEAABkcnMvZG93bnJldi54bWxQSwUGAAAAAAQABADzAAAAbwUA&#10;AAAA&#10;" filled="f" stroked="f">
              <v:textbox style="mso-fit-shape-to-text:t" inset="0,0,0,15pt">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160A" w14:textId="4EC124AA" w:rsidR="00D72DB7" w:rsidRDefault="0076376A">
    <w:pPr>
      <w:pStyle w:val="Footer"/>
      <w:jc w:val="right"/>
    </w:pPr>
    <w:r>
      <w:rPr>
        <w:noProof/>
      </w:rPr>
      <mc:AlternateContent>
        <mc:Choice Requires="wps">
          <w:drawing>
            <wp:anchor distT="0" distB="0" distL="0" distR="0" simplePos="0" relativeHeight="251658242" behindDoc="0" locked="0" layoutInCell="1" allowOverlap="1" wp14:anchorId="62A85E74" wp14:editId="2C810582">
              <wp:simplePos x="914400" y="9867900"/>
              <wp:positionH relativeFrom="page">
                <wp:align>center</wp:align>
              </wp:positionH>
              <wp:positionV relativeFrom="page">
                <wp:align>bottom</wp:align>
              </wp:positionV>
              <wp:extent cx="656590" cy="398145"/>
              <wp:effectExtent l="0" t="0" r="10160" b="0"/>
              <wp:wrapNone/>
              <wp:docPr id="1744455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85E74" id="_x0000_t202" coordsize="21600,21600" o:spt="202" path="m,l,21600r21600,l21600,xe">
              <v:stroke joinstyle="miter"/>
              <v:path gradientshapeok="t" o:connecttype="rect"/>
            </v:shapetype>
            <v:shape id="Text Box 5" o:spid="_x0000_s1027" type="#_x0000_t202" alt="OFFICIAL" style="position:absolute;left:0;text-align:left;margin-left:0;margin-top:0;width:51.7pt;height:31.3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hx981N4AAAAJAQAADwAAAGRycy9kb3ducmV2LnhtbEyPwU7DMBBE70j8g7VI3KhDAqVK41SoiFMR&#10;Ulsu3Fx7m6TE6yjetOnf43Ipl5FWo5mdVyxG14oj9qHxpOBxkoBAMt42VCn42r4/zEAE1mR16wkV&#10;nDHAory9KXRu/YnWeNxwJWIJhVwrqJm7XMpganQ6THyHFL29753mePaVtL0+xXLXyjRJptLphuKH&#10;Wne4rNH8bAan4HnNH8MnbbPvMT0fVt3SZPuVUer+bnybR3mdg2Ac+ZqAC0PcD2UctvMD2SBaBZGG&#10;//TiJdkTiJ2CafoCsizkf4LyFwAA//8DAFBLAQItABQABgAIAAAAIQC2gziS/gAAAOEBAAATAAAA&#10;AAAAAAAAAAAAAAAAAABbQ29udGVudF9UeXBlc10ueG1sUEsBAi0AFAAGAAgAAAAhADj9If/WAAAA&#10;lAEAAAsAAAAAAAAAAAAAAAAALwEAAF9yZWxzLy5yZWxzUEsBAi0AFAAGAAgAAAAhABl5rR8MAgAA&#10;HAQAAA4AAAAAAAAAAAAAAAAALgIAAGRycy9lMm9Eb2MueG1sUEsBAi0AFAAGAAgAAAAhAIcffNTe&#10;AAAACQEAAA8AAAAAAAAAAAAAAAAAZgQAAGRycy9kb3ducmV2LnhtbFBLBQYAAAAABAAEAPMAAABx&#10;BQAAAAA=&#10;" filled="f" stroked="f">
              <v:textbox style="mso-fit-shape-to-text:t" inset="0,0,0,15pt">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v:textbox>
              <w10:wrap anchorx="page" anchory="page"/>
            </v:shape>
          </w:pict>
        </mc:Fallback>
      </mc:AlternateContent>
    </w:r>
    <w:sdt>
      <w:sdtPr>
        <w:id w:val="-643426864"/>
        <w:docPartObj>
          <w:docPartGallery w:val="Page Numbers (Bottom of Page)"/>
          <w:docPartUnique/>
        </w:docPartObj>
      </w:sdtPr>
      <w:sdtEndPr>
        <w:rPr>
          <w:noProof/>
        </w:rPr>
      </w:sdtEndPr>
      <w:sdtContent>
        <w:r w:rsidR="00D72DB7">
          <w:fldChar w:fldCharType="begin"/>
        </w:r>
        <w:r w:rsidR="00D72DB7">
          <w:instrText xml:space="preserve"> PAGE   \* MERGEFORMAT </w:instrText>
        </w:r>
        <w:r w:rsidR="00D72DB7">
          <w:fldChar w:fldCharType="separate"/>
        </w:r>
        <w:r w:rsidR="00D72DB7">
          <w:rPr>
            <w:noProof/>
          </w:rPr>
          <w:t>2</w:t>
        </w:r>
        <w:r w:rsidR="00D72DB7">
          <w:rPr>
            <w:noProof/>
          </w:rPr>
          <w:fldChar w:fldCharType="end"/>
        </w:r>
      </w:sdtContent>
    </w:sdt>
  </w:p>
  <w:p w14:paraId="2705D37E" w14:textId="77777777" w:rsidR="00D72DB7" w:rsidRDefault="00D72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FA8" w14:textId="193A9DC4" w:rsidR="0076376A" w:rsidRDefault="0076376A">
    <w:pPr>
      <w:pStyle w:val="Footer"/>
    </w:pPr>
    <w:r>
      <w:rPr>
        <w:noProof/>
      </w:rPr>
      <mc:AlternateContent>
        <mc:Choice Requires="wps">
          <w:drawing>
            <wp:anchor distT="0" distB="0" distL="0" distR="0" simplePos="0" relativeHeight="251658240" behindDoc="0" locked="0" layoutInCell="1" allowOverlap="1" wp14:anchorId="78C327D0" wp14:editId="71143903">
              <wp:simplePos x="635" y="635"/>
              <wp:positionH relativeFrom="page">
                <wp:align>center</wp:align>
              </wp:positionH>
              <wp:positionV relativeFrom="page">
                <wp:align>bottom</wp:align>
              </wp:positionV>
              <wp:extent cx="656590" cy="398145"/>
              <wp:effectExtent l="0" t="0" r="10160" b="0"/>
              <wp:wrapNone/>
              <wp:docPr id="827676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327D0" id="_x0000_t202" coordsize="21600,21600" o:spt="202" path="m,l,21600r21600,l21600,xe">
              <v:stroke joinstyle="miter"/>
              <v:path gradientshapeok="t" o:connecttype="rect"/>
            </v:shapetype>
            <v:shape id="Text Box 3"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HH3zU3gAAAAkBAAAPAAAAZHJzL2Rvd25yZXYueG1sTI/BTsMwEETvSPyDtUjcqEMCpUrjVKiI&#10;UxFSWy7cXHubpMTrKN606d/jcimXkVajmZ1XLEbXiiP2ofGk4HGSgEAy3jZUKfjavj/MQATWZHXr&#10;CRWcMcCivL0pdG79idZ43HAlYgmFXCuombtcymBqdDpMfIcUvb3vneZ49pW0vT7FctfKNEmm0umG&#10;4odad7is0fxsBqfgec0fwydts+8xPR9W3dJk+5VR6v5ufJtHeZ2DYBz5moALQ9wPZRy28wPZIFoF&#10;kYb/9OIl2ROInYJp+gKyLOR/gvIXAAD//wMAUEsBAi0AFAAGAAgAAAAhALaDOJL+AAAA4QEAABMA&#10;AAAAAAAAAAAAAAAAAAAAAFtDb250ZW50X1R5cGVzXS54bWxQSwECLQAUAAYACAAAACEAOP0h/9YA&#10;AACUAQAACwAAAAAAAAAAAAAAAAAvAQAAX3JlbHMvLnJlbHNQSwECLQAUAAYACAAAACEArrh6WQ4C&#10;AAAcBAAADgAAAAAAAAAAAAAAAAAuAgAAZHJzL2Uyb0RvYy54bWxQSwECLQAUAAYACAAAACEAhx98&#10;1N4AAAAJAQAADwAAAAAAAAAAAAAAAABoBAAAZHJzL2Rvd25yZXYueG1sUEsFBgAAAAAEAAQA8wAA&#10;AHMFAAAAAA==&#10;" filled="f" stroked="f">
              <v:textbox style="mso-fit-shape-to-text:t" inset="0,0,0,15pt">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D8A7" w14:textId="77777777" w:rsidR="002463E0" w:rsidRDefault="002463E0" w:rsidP="001C3317">
      <w:pPr>
        <w:spacing w:after="0" w:line="240" w:lineRule="auto"/>
      </w:pPr>
      <w:r>
        <w:separator/>
      </w:r>
    </w:p>
  </w:footnote>
  <w:footnote w:type="continuationSeparator" w:id="0">
    <w:p w14:paraId="77D9E79C" w14:textId="77777777" w:rsidR="002463E0" w:rsidRDefault="002463E0" w:rsidP="001C3317">
      <w:pPr>
        <w:spacing w:after="0" w:line="240" w:lineRule="auto"/>
      </w:pPr>
      <w:r>
        <w:continuationSeparator/>
      </w:r>
    </w:p>
  </w:footnote>
  <w:footnote w:type="continuationNotice" w:id="1">
    <w:p w14:paraId="31ADF1E2" w14:textId="77777777" w:rsidR="002463E0" w:rsidRDefault="00246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D8B" w14:textId="61A227FC" w:rsidR="001C3317" w:rsidRPr="001C3317" w:rsidRDefault="002A4EC9" w:rsidP="001C3317">
    <w:pPr>
      <w:pStyle w:val="Header"/>
      <w:jc w:val="right"/>
      <w:rPr>
        <w:b/>
        <w:bCs/>
      </w:rPr>
    </w:pPr>
    <w:r>
      <w:rPr>
        <w:b/>
        <w:bCs/>
      </w:rPr>
      <w:t>Factsheet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B21"/>
    <w:multiLevelType w:val="hybridMultilevel"/>
    <w:tmpl w:val="C8502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B27859"/>
    <w:multiLevelType w:val="hybridMultilevel"/>
    <w:tmpl w:val="00A86458"/>
    <w:lvl w:ilvl="0" w:tplc="4DA64C4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7E0D92"/>
    <w:multiLevelType w:val="hybridMultilevel"/>
    <w:tmpl w:val="A6C8C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2459E2"/>
    <w:multiLevelType w:val="hybridMultilevel"/>
    <w:tmpl w:val="DE0AD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1D1652"/>
    <w:multiLevelType w:val="hybridMultilevel"/>
    <w:tmpl w:val="DECA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258F6"/>
    <w:multiLevelType w:val="hybridMultilevel"/>
    <w:tmpl w:val="1AFEF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FB4589"/>
    <w:multiLevelType w:val="hybridMultilevel"/>
    <w:tmpl w:val="B5EA6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2372D0"/>
    <w:multiLevelType w:val="hybridMultilevel"/>
    <w:tmpl w:val="D418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500263"/>
    <w:multiLevelType w:val="hybridMultilevel"/>
    <w:tmpl w:val="6464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17D32"/>
    <w:multiLevelType w:val="hybridMultilevel"/>
    <w:tmpl w:val="6E2E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7510F"/>
    <w:multiLevelType w:val="hybridMultilevel"/>
    <w:tmpl w:val="C366C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414824"/>
    <w:multiLevelType w:val="hybridMultilevel"/>
    <w:tmpl w:val="B8C8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352F"/>
    <w:multiLevelType w:val="hybridMultilevel"/>
    <w:tmpl w:val="2EFAA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B81C42"/>
    <w:multiLevelType w:val="hybridMultilevel"/>
    <w:tmpl w:val="9E74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578B2"/>
    <w:multiLevelType w:val="hybridMultilevel"/>
    <w:tmpl w:val="A810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F327E"/>
    <w:multiLevelType w:val="hybridMultilevel"/>
    <w:tmpl w:val="ABD6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644C9D"/>
    <w:multiLevelType w:val="hybridMultilevel"/>
    <w:tmpl w:val="C836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334349">
    <w:abstractNumId w:val="12"/>
  </w:num>
  <w:num w:numId="2" w16cid:durableId="1772508569">
    <w:abstractNumId w:val="1"/>
  </w:num>
  <w:num w:numId="3" w16cid:durableId="1271165532">
    <w:abstractNumId w:val="0"/>
  </w:num>
  <w:num w:numId="4" w16cid:durableId="419913305">
    <w:abstractNumId w:val="10"/>
  </w:num>
  <w:num w:numId="5" w16cid:durableId="2108233643">
    <w:abstractNumId w:val="2"/>
  </w:num>
  <w:num w:numId="6" w16cid:durableId="300041141">
    <w:abstractNumId w:val="6"/>
  </w:num>
  <w:num w:numId="7" w16cid:durableId="1332756989">
    <w:abstractNumId w:val="11"/>
  </w:num>
  <w:num w:numId="8" w16cid:durableId="570888726">
    <w:abstractNumId w:val="16"/>
  </w:num>
  <w:num w:numId="9" w16cid:durableId="882866916">
    <w:abstractNumId w:val="9"/>
  </w:num>
  <w:num w:numId="10" w16cid:durableId="1602688253">
    <w:abstractNumId w:val="14"/>
  </w:num>
  <w:num w:numId="11" w16cid:durableId="322971460">
    <w:abstractNumId w:val="3"/>
  </w:num>
  <w:num w:numId="12" w16cid:durableId="1725979164">
    <w:abstractNumId w:val="4"/>
  </w:num>
  <w:num w:numId="13" w16cid:durableId="1321037468">
    <w:abstractNumId w:val="7"/>
  </w:num>
  <w:num w:numId="14" w16cid:durableId="733700368">
    <w:abstractNumId w:val="15"/>
  </w:num>
  <w:num w:numId="15" w16cid:durableId="106895340">
    <w:abstractNumId w:val="13"/>
  </w:num>
  <w:num w:numId="16" w16cid:durableId="574245270">
    <w:abstractNumId w:val="8"/>
  </w:num>
  <w:num w:numId="17" w16cid:durableId="2028553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7"/>
    <w:rsid w:val="000244EB"/>
    <w:rsid w:val="00037286"/>
    <w:rsid w:val="000458DF"/>
    <w:rsid w:val="00047A21"/>
    <w:rsid w:val="00091E44"/>
    <w:rsid w:val="000B776F"/>
    <w:rsid w:val="000D5EA5"/>
    <w:rsid w:val="000D6B8B"/>
    <w:rsid w:val="00107D19"/>
    <w:rsid w:val="00154299"/>
    <w:rsid w:val="00157B00"/>
    <w:rsid w:val="00176016"/>
    <w:rsid w:val="00197C08"/>
    <w:rsid w:val="001C15E3"/>
    <w:rsid w:val="001C3317"/>
    <w:rsid w:val="001E4F5B"/>
    <w:rsid w:val="002022F7"/>
    <w:rsid w:val="00211850"/>
    <w:rsid w:val="002463E0"/>
    <w:rsid w:val="0026507C"/>
    <w:rsid w:val="00280A16"/>
    <w:rsid w:val="00293F06"/>
    <w:rsid w:val="002A19BC"/>
    <w:rsid w:val="002A4EC9"/>
    <w:rsid w:val="002B2D9E"/>
    <w:rsid w:val="002E24B5"/>
    <w:rsid w:val="002F26E0"/>
    <w:rsid w:val="00391DA1"/>
    <w:rsid w:val="003D6880"/>
    <w:rsid w:val="003D7D36"/>
    <w:rsid w:val="003E6429"/>
    <w:rsid w:val="003F7DA8"/>
    <w:rsid w:val="00453097"/>
    <w:rsid w:val="00461822"/>
    <w:rsid w:val="00477B16"/>
    <w:rsid w:val="004A7D05"/>
    <w:rsid w:val="004B1768"/>
    <w:rsid w:val="004F72CB"/>
    <w:rsid w:val="005014F0"/>
    <w:rsid w:val="00567629"/>
    <w:rsid w:val="005A0392"/>
    <w:rsid w:val="005F23AE"/>
    <w:rsid w:val="00607CDD"/>
    <w:rsid w:val="0061288F"/>
    <w:rsid w:val="00650338"/>
    <w:rsid w:val="00673797"/>
    <w:rsid w:val="006F1FDA"/>
    <w:rsid w:val="00716DCE"/>
    <w:rsid w:val="0072450E"/>
    <w:rsid w:val="00731A0F"/>
    <w:rsid w:val="00745075"/>
    <w:rsid w:val="0076376A"/>
    <w:rsid w:val="00765438"/>
    <w:rsid w:val="007C0693"/>
    <w:rsid w:val="007D605B"/>
    <w:rsid w:val="008079A7"/>
    <w:rsid w:val="008467A6"/>
    <w:rsid w:val="00880E57"/>
    <w:rsid w:val="00883DBC"/>
    <w:rsid w:val="0089193A"/>
    <w:rsid w:val="00896451"/>
    <w:rsid w:val="008B0ACD"/>
    <w:rsid w:val="009203C6"/>
    <w:rsid w:val="00936818"/>
    <w:rsid w:val="00963765"/>
    <w:rsid w:val="00990865"/>
    <w:rsid w:val="00995234"/>
    <w:rsid w:val="009B4064"/>
    <w:rsid w:val="009D296C"/>
    <w:rsid w:val="009F7863"/>
    <w:rsid w:val="009F7B6F"/>
    <w:rsid w:val="00A540A5"/>
    <w:rsid w:val="00A60AF1"/>
    <w:rsid w:val="00A61601"/>
    <w:rsid w:val="00A82E8F"/>
    <w:rsid w:val="00AC483F"/>
    <w:rsid w:val="00AE3396"/>
    <w:rsid w:val="00B310CA"/>
    <w:rsid w:val="00B92C98"/>
    <w:rsid w:val="00BD73CB"/>
    <w:rsid w:val="00C67DB7"/>
    <w:rsid w:val="00C7144D"/>
    <w:rsid w:val="00C72030"/>
    <w:rsid w:val="00C725D0"/>
    <w:rsid w:val="00C75403"/>
    <w:rsid w:val="00C93F15"/>
    <w:rsid w:val="00C94ABB"/>
    <w:rsid w:val="00CE011B"/>
    <w:rsid w:val="00D12DEE"/>
    <w:rsid w:val="00D32BB1"/>
    <w:rsid w:val="00D72DB7"/>
    <w:rsid w:val="00D817F1"/>
    <w:rsid w:val="00D83FAD"/>
    <w:rsid w:val="00DD7ACA"/>
    <w:rsid w:val="00DD7B27"/>
    <w:rsid w:val="00DE364B"/>
    <w:rsid w:val="00E05079"/>
    <w:rsid w:val="00E77AF1"/>
    <w:rsid w:val="00ED4FA3"/>
    <w:rsid w:val="00F052E1"/>
    <w:rsid w:val="00F056D6"/>
    <w:rsid w:val="00F545C7"/>
    <w:rsid w:val="00FA5321"/>
    <w:rsid w:val="00FE10BD"/>
    <w:rsid w:val="00FF0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51CCA"/>
  <w15:chartTrackingRefBased/>
  <w15:docId w15:val="{122EBF69-0EBC-4CFE-869B-161326BF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3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3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3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3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317"/>
    <w:rPr>
      <w:rFonts w:eastAsiaTheme="majorEastAsia" w:cstheme="majorBidi"/>
      <w:color w:val="272727" w:themeColor="text1" w:themeTint="D8"/>
    </w:rPr>
  </w:style>
  <w:style w:type="paragraph" w:styleId="Title">
    <w:name w:val="Title"/>
    <w:basedOn w:val="Normal"/>
    <w:next w:val="Normal"/>
    <w:link w:val="TitleChar"/>
    <w:uiPriority w:val="10"/>
    <w:qFormat/>
    <w:rsid w:val="001C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17"/>
    <w:pPr>
      <w:spacing w:before="160"/>
      <w:jc w:val="center"/>
    </w:pPr>
    <w:rPr>
      <w:i/>
      <w:iCs/>
      <w:color w:val="404040" w:themeColor="text1" w:themeTint="BF"/>
    </w:rPr>
  </w:style>
  <w:style w:type="character" w:customStyle="1" w:styleId="QuoteChar">
    <w:name w:val="Quote Char"/>
    <w:basedOn w:val="DefaultParagraphFont"/>
    <w:link w:val="Quote"/>
    <w:uiPriority w:val="29"/>
    <w:rsid w:val="001C3317"/>
    <w:rPr>
      <w:i/>
      <w:iCs/>
      <w:color w:val="404040" w:themeColor="text1" w:themeTint="BF"/>
    </w:rPr>
  </w:style>
  <w:style w:type="paragraph" w:styleId="ListParagraph">
    <w:name w:val="List Paragraph"/>
    <w:basedOn w:val="Normal"/>
    <w:uiPriority w:val="34"/>
    <w:qFormat/>
    <w:rsid w:val="001C3317"/>
    <w:pPr>
      <w:ind w:left="720"/>
      <w:contextualSpacing/>
    </w:pPr>
  </w:style>
  <w:style w:type="character" w:styleId="IntenseEmphasis">
    <w:name w:val="Intense Emphasis"/>
    <w:basedOn w:val="DefaultParagraphFont"/>
    <w:uiPriority w:val="21"/>
    <w:qFormat/>
    <w:rsid w:val="001C3317"/>
    <w:rPr>
      <w:i/>
      <w:iCs/>
      <w:color w:val="0F4761" w:themeColor="accent1" w:themeShade="BF"/>
    </w:rPr>
  </w:style>
  <w:style w:type="paragraph" w:styleId="IntenseQuote">
    <w:name w:val="Intense Quote"/>
    <w:basedOn w:val="Normal"/>
    <w:next w:val="Normal"/>
    <w:link w:val="IntenseQuoteChar"/>
    <w:uiPriority w:val="30"/>
    <w:qFormat/>
    <w:rsid w:val="001C3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317"/>
    <w:rPr>
      <w:i/>
      <w:iCs/>
      <w:color w:val="0F4761" w:themeColor="accent1" w:themeShade="BF"/>
    </w:rPr>
  </w:style>
  <w:style w:type="character" w:styleId="IntenseReference">
    <w:name w:val="Intense Reference"/>
    <w:basedOn w:val="DefaultParagraphFont"/>
    <w:uiPriority w:val="32"/>
    <w:qFormat/>
    <w:rsid w:val="001C3317"/>
    <w:rPr>
      <w:b/>
      <w:bCs/>
      <w:smallCaps/>
      <w:color w:val="0F4761" w:themeColor="accent1" w:themeShade="BF"/>
      <w:spacing w:val="5"/>
    </w:rPr>
  </w:style>
  <w:style w:type="paragraph" w:styleId="Header">
    <w:name w:val="header"/>
    <w:basedOn w:val="Normal"/>
    <w:link w:val="HeaderChar"/>
    <w:uiPriority w:val="99"/>
    <w:unhideWhenUsed/>
    <w:rsid w:val="001C3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317"/>
  </w:style>
  <w:style w:type="paragraph" w:styleId="Footer">
    <w:name w:val="footer"/>
    <w:basedOn w:val="Normal"/>
    <w:link w:val="FooterChar"/>
    <w:uiPriority w:val="99"/>
    <w:unhideWhenUsed/>
    <w:rsid w:val="001C3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317"/>
  </w:style>
  <w:style w:type="character" w:styleId="Hyperlink">
    <w:name w:val="Hyperlink"/>
    <w:basedOn w:val="DefaultParagraphFont"/>
    <w:uiPriority w:val="99"/>
    <w:unhideWhenUsed/>
    <w:rsid w:val="00BD73CB"/>
    <w:rPr>
      <w:color w:val="467886" w:themeColor="hyperlink"/>
      <w:u w:val="single"/>
    </w:rPr>
  </w:style>
  <w:style w:type="character" w:styleId="UnresolvedMention">
    <w:name w:val="Unresolved Mention"/>
    <w:basedOn w:val="DefaultParagraphFont"/>
    <w:uiPriority w:val="99"/>
    <w:semiHidden/>
    <w:unhideWhenUsed/>
    <w:rsid w:val="00BD73CB"/>
    <w:rPr>
      <w:color w:val="605E5C"/>
      <w:shd w:val="clear" w:color="auto" w:fill="E1DFDD"/>
    </w:rPr>
  </w:style>
  <w:style w:type="paragraph" w:customStyle="1" w:styleId="Body">
    <w:name w:val="Body"/>
    <w:basedOn w:val="Normal"/>
    <w:uiPriority w:val="99"/>
    <w:rsid w:val="00197C08"/>
    <w:pPr>
      <w:suppressAutoHyphens/>
      <w:autoSpaceDE w:val="0"/>
      <w:autoSpaceDN w:val="0"/>
      <w:adjustRightInd w:val="0"/>
      <w:spacing w:after="113" w:line="240" w:lineRule="atLeast"/>
      <w:textAlignment w:val="center"/>
    </w:pPr>
    <w:rPr>
      <w:rFonts w:ascii="Gotham Book" w:hAnsi="Gotham Book" w:cs="Gotham Book"/>
      <w:color w:val="000000"/>
      <w:spacing w:val="-1"/>
      <w:kern w:val="0"/>
      <w:sz w:val="18"/>
      <w:szCs w:val="18"/>
      <w:lang w:val="en-GB"/>
    </w:rPr>
  </w:style>
  <w:style w:type="character" w:styleId="CommentReference">
    <w:name w:val="annotation reference"/>
    <w:basedOn w:val="DefaultParagraphFont"/>
    <w:uiPriority w:val="99"/>
    <w:semiHidden/>
    <w:unhideWhenUsed/>
    <w:rsid w:val="00FE10BD"/>
    <w:rPr>
      <w:sz w:val="16"/>
      <w:szCs w:val="16"/>
    </w:rPr>
  </w:style>
  <w:style w:type="paragraph" w:styleId="CommentText">
    <w:name w:val="annotation text"/>
    <w:basedOn w:val="Normal"/>
    <w:link w:val="CommentTextChar"/>
    <w:uiPriority w:val="99"/>
    <w:unhideWhenUsed/>
    <w:rsid w:val="00FE10BD"/>
    <w:pPr>
      <w:spacing w:line="240" w:lineRule="auto"/>
    </w:pPr>
    <w:rPr>
      <w:sz w:val="20"/>
      <w:szCs w:val="20"/>
    </w:rPr>
  </w:style>
  <w:style w:type="character" w:customStyle="1" w:styleId="CommentTextChar">
    <w:name w:val="Comment Text Char"/>
    <w:basedOn w:val="DefaultParagraphFont"/>
    <w:link w:val="CommentText"/>
    <w:uiPriority w:val="99"/>
    <w:rsid w:val="00FE10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stice.vic.gov.au/the-prevalence-of-gambling-in-secondary-school-students-in-victoria-and-NSW"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1d6015-ed96-4555-9703-e8af0ebc407f">
      <Terms xmlns="http://schemas.microsoft.com/office/infopath/2007/PartnerControls"/>
    </lcf76f155ced4ddcb4097134ff3c332f>
    <Tags xmlns="701d6015-ed96-4555-9703-e8af0ebc407f" xsi:nil="true"/>
    <Date_x0020_on_x0020_Document xmlns="701d6015-ed96-4555-9703-e8af0ebc407f">2026-02-16T04:09:30+00:00</Date_x0020_on_x0020_Document>
    <_ExtendedDescription xmlns="http://schemas.microsoft.com/sharepoint/v3" xsi:nil="true"/>
    <Document_x0020_Types xmlns="701d6015-ed96-4555-9703-e8af0ebc407f" xsi:nil="true"/>
    <RetentionMarketing xmlns="701d6015-ed96-4555-9703-e8af0ebc407f" xsi:nil="true"/>
    <TaxKeywordTaxHTField xmlns="01cb76ad-a7f6-4e5c-88bc-7e5ceb9824e8">
      <Terms xmlns="http://schemas.microsoft.com/office/infopath/2007/PartnerControls"/>
    </TaxKeywordTaxHTField>
    <TaxCatchAll xmlns="01cb76ad-a7f6-4e5c-88bc-7e5ceb9824e8" xsi:nil="true"/>
    <_dlc_DocId xmlns="01cb76ad-a7f6-4e5c-88bc-7e5ceb9824e8">EDRMS-1867357470-25578</_dlc_DocId>
    <_dlc_DocIdUrl xmlns="01cb76ad-a7f6-4e5c-88bc-7e5ceb9824e8">
      <Url>https://dhhsvicgovau.sharepoint.com/sites/GHPR-Programs-GRP/_layouts/15/DocIdRedir.aspx?ID=EDRMS-1867357470-25578</Url>
      <Description>EDRMS-1867357470-25578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41D49AF62A14FBE99B3421A7CCA96" ma:contentTypeVersion="30" ma:contentTypeDescription="Create a new document." ma:contentTypeScope="" ma:versionID="559ab3d30c309ee109bc07d7628ddc03">
  <xsd:schema xmlns:xsd="http://www.w3.org/2001/XMLSchema" xmlns:xs="http://www.w3.org/2001/XMLSchema" xmlns:p="http://schemas.microsoft.com/office/2006/metadata/properties" xmlns:ns1="http://schemas.microsoft.com/sharepoint/v3" xmlns:ns3="701d6015-ed96-4555-9703-e8af0ebc407f" xmlns:ns4="01cb76ad-a7f6-4e5c-88bc-7e5ceb9824e8" targetNamespace="http://schemas.microsoft.com/office/2006/metadata/properties" ma:root="true" ma:fieldsID="ece084121f6b31e47f833d8fecd3a8ac" ns1:_="" ns3:_="" ns4:_="">
    <xsd:import namespace="http://schemas.microsoft.com/sharepoint/v3"/>
    <xsd:import namespace="701d6015-ed96-4555-9703-e8af0ebc407f"/>
    <xsd:import namespace="01cb76ad-a7f6-4e5c-88bc-7e5ceb9824e8"/>
    <xsd:element name="properties">
      <xsd:complexType>
        <xsd:sequence>
          <xsd:element name="documentManagement">
            <xsd:complexType>
              <xsd:all>
                <xsd:element ref="ns3:Date_x0020_on_x0020_Document"/>
                <xsd:element ref="ns3:Document_x0020_Types" minOccurs="0"/>
                <xsd:element ref="ns4:TaxKeywordTaxHTField" minOccurs="0"/>
                <xsd:element ref="ns4:TaxCatchAll" minOccurs="0"/>
                <xsd:element ref="ns3:RetentionMarketing" minOccurs="0"/>
                <xsd:element ref="ns1:_ExtendedDescription" minOccurs="0"/>
                <xsd:element ref="ns3:Tags"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5"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d6015-ed96-4555-9703-e8af0ebc407f" elementFormDefault="qualified">
    <xsd:import namespace="http://schemas.microsoft.com/office/2006/documentManagement/types"/>
    <xsd:import namespace="http://schemas.microsoft.com/office/infopath/2007/PartnerControls"/>
    <xsd:element name="Date_x0020_on_x0020_Document" ma:index="9" ma:displayName="Date on Document" ma:default="[today]" ma:description="Date on/of the Document. Not necessarily the Date Created." ma:format="DateOnly" ma:internalName="Date_x0020_on_x0020_Document" ma:readOnly="false">
      <xsd:simpleType>
        <xsd:restriction base="dms:DateTime"/>
      </xsd:simpleType>
    </xsd:element>
    <xsd:element name="Document_x0020_Types" ma:index="10" nillable="true" ma:displayName="Document Types" ma:description="Different document types commonly used." ma:internalName="Document_x0020_Types" ma:readOnly="false">
      <xsd:complexType>
        <xsd:complexContent>
          <xsd:extension base="dms:MultiChoice">
            <xsd:sequence>
              <xsd:element name="Value" maxOccurs="unbounded" minOccurs="0" nillable="true">
                <xsd:simpleType>
                  <xsd:restriction base="dms:Choice">
                    <xsd:enumeration value="Agenda"/>
                    <xsd:enumeration value="Application"/>
                    <xsd:enumeration value="Approval"/>
                    <xsd:enumeration value="Brief"/>
                    <xsd:enumeration value="Contract"/>
                    <xsd:enumeration value="Directive"/>
                    <xsd:enumeration value="Discussion Paper"/>
                    <xsd:enumeration value="Email"/>
                    <xsd:enumeration value="Estimate"/>
                    <xsd:enumeration value="Evaluation"/>
                    <xsd:enumeration value="Fact Sheet"/>
                    <xsd:enumeration value="File Note"/>
                    <xsd:enumeration value="Instructions"/>
                    <xsd:enumeration value="Invoice"/>
                    <xsd:enumeration value="Link"/>
                    <xsd:enumeration value="Media Release"/>
                    <xsd:enumeration value="Memo"/>
                    <xsd:enumeration value="Minutes"/>
                    <xsd:enumeration value="Notification"/>
                    <xsd:enumeration value="Paper"/>
                    <xsd:enumeration value="Personnel"/>
                    <xsd:enumeration value="Plan - Building"/>
                    <xsd:enumeration value="Plan - Project"/>
                    <xsd:enumeration value="Policy"/>
                    <xsd:enumeration value="Presentation"/>
                    <xsd:enumeration value="Procurement"/>
                    <xsd:enumeration value="Purchase Order"/>
                    <xsd:enumeration value="Quote"/>
                    <xsd:enumeration value="Receipt"/>
                    <xsd:enumeration value="Recruitment"/>
                    <xsd:enumeration value="Report - Draft"/>
                    <xsd:enumeration value="Report - Final"/>
                    <xsd:enumeration value="Review"/>
                    <xsd:enumeration value="Review - Peer"/>
                    <xsd:enumeration value="RFQ"/>
                    <xsd:enumeration value="RFT"/>
                    <xsd:enumeration value="Template"/>
                  </xsd:restriction>
                </xsd:simpleType>
              </xsd:element>
            </xsd:sequence>
          </xsd:extension>
        </xsd:complexContent>
      </xsd:complexType>
    </xsd:element>
    <xsd:element name="RetentionMarketing" ma:index="14" nillable="true" ma:displayName="Retention Marketing" ma:description="Retention classes for records relating to marketing activities" ma:format="Dropdown" ma:internalName="RetentionMarketing" ma:readOnly="false">
      <xsd:simpleType>
        <xsd:restriction base="dms:Choice">
          <xsd:enumeration value="02.05.01 2 yrs"/>
          <xsd:enumeration value="02.07.01 7 yrs"/>
          <xsd:enumeration value="02.07.02 Perm"/>
          <xsd:enumeration value="02.07.03 5 yrs"/>
          <xsd:enumeration value="02.07.04 2 yrs"/>
          <xsd:enumeration value="02.12.01 Admin"/>
          <xsd:enumeration value="02.14.02 7 yrs"/>
          <xsd:enumeration value="15.04.02 Sup"/>
        </xsd:restriction>
      </xsd:simpleType>
    </xsd:element>
    <xsd:element name="Tags" ma:index="16" nillable="true" ma:displayName="Tags" ma:internalName="Tags0" ma:readOnly="fals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76ad-a7f6-4e5c-88bc-7e5ceb9824e8"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readOnly="false" ma:fieldId="{23f27201-bee3-471e-b2e7-b64fd8b7ca38}" ma:taxonomyMulti="true" ma:sspId="6e24e156-28e6-48ad-9c0f-4171595c9d94"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6d3b78cf-5206-42f6-85dd-1805f505c524}" ma:internalName="TaxCatchAll" ma:showField="CatchAllData" ma:web="01cb76ad-a7f6-4e5c-88bc-7e5ceb9824e8">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6740C-BE36-4F2B-981F-41009CA5BC84}">
  <ds:schemaRefs>
    <ds:schemaRef ds:uri="http://schemas.microsoft.com/office/2006/metadata/properties"/>
    <ds:schemaRef ds:uri="http://schemas.microsoft.com/office/infopath/2007/PartnerControls"/>
    <ds:schemaRef ds:uri="701d6015-ed96-4555-9703-e8af0ebc407f"/>
    <ds:schemaRef ds:uri="http://schemas.microsoft.com/sharepoint/v3"/>
    <ds:schemaRef ds:uri="01cb76ad-a7f6-4e5c-88bc-7e5ceb9824e8"/>
  </ds:schemaRefs>
</ds:datastoreItem>
</file>

<file path=customXml/itemProps2.xml><?xml version="1.0" encoding="utf-8"?>
<ds:datastoreItem xmlns:ds="http://schemas.openxmlformats.org/officeDocument/2006/customXml" ds:itemID="{0081880A-6C9C-48A2-A8E2-02A9EAE47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d6015-ed96-4555-9703-e8af0ebc407f"/>
    <ds:schemaRef ds:uri="01cb76ad-a7f6-4e5c-88bc-7e5ceb982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60D1A-EF62-4F2D-998E-1B8E2A9586E9}">
  <ds:schemaRefs>
    <ds:schemaRef ds:uri="http://schemas.microsoft.com/sharepoint/events"/>
  </ds:schemaRefs>
</ds:datastoreItem>
</file>

<file path=customXml/itemProps4.xml><?xml version="1.0" encoding="utf-8"?>
<ds:datastoreItem xmlns:ds="http://schemas.openxmlformats.org/officeDocument/2006/customXml" ds:itemID="{E5F23C6E-B4D9-41AD-B007-D6B45BD98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350</Words>
  <Characters>1757</Characters>
  <Application>Microsoft Office Word</Application>
  <DocSecurity>0</DocSecurity>
  <Lines>62</Lines>
  <Paragraphs>44</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Introduction</vt:lpstr>
      <vt:lpstr>    Empowering young people to understand gambling risks </vt:lpstr>
      <vt:lpstr>Victorian Certificate of Education (VCE) Vocational Major (VM)</vt:lpstr>
      <vt:lpstr>    VCE VM Literacy</vt:lpstr>
      <vt:lpstr>        Love the Game (Unit 1)</vt:lpstr>
      <vt:lpstr>        Potential influences (Unit 3)</vt:lpstr>
      <vt:lpstr>    VCE VM Personal Development Skills </vt:lpstr>
      <vt:lpstr>        Knowing the score (Unit 2)</vt:lpstr>
      <vt:lpstr>        Knowing when it’s a concern (Unit 4)</vt:lpstr>
      <vt:lpstr>    VCE VM Numeracy </vt:lpstr>
      <vt:lpstr>        Finances and gambling (Unit 1): </vt:lpstr>
      <vt:lpstr>        What are the chances? (Unit 2)</vt:lpstr>
      <vt:lpstr>        Earnings and expenditure (Unit 3)</vt:lpstr>
      <vt:lpstr>        Odds and probability (Unit 4)</vt:lpstr>
      <vt:lpstr>VCE </vt:lpstr>
      <vt:lpstr>    VCE Health and Human Development (Unit 1) </vt:lpstr>
      <vt:lpstr>        ‘GAME ON.’ Gambling – a youth health issue</vt:lpstr>
      <vt:lpstr>    VCE Media studies (Units 1 and 2) </vt:lpstr>
      <vt:lpstr>        Representations of gambling in advertising</vt:lpstr>
      <vt:lpstr>        Explores gambling advertising. Students discuss the values represented in bettin</vt:lpstr>
      <vt:lpstr>Years 7 to 10 </vt:lpstr>
      <vt:lpstr>    Health and Physical Education (Years 7–10) </vt:lpstr>
      <vt:lpstr>        Lessons that help students learn about the risks and realities of gambling and g</vt:lpstr>
      <vt:lpstr>    Humanities (Year 10) </vt:lpstr>
      <vt:lpstr>        The role of regulation</vt:lpstr>
      <vt:lpstr>        Highlights the risks of gambling and how regulation helps to protect individuals</vt:lpstr>
      <vt:lpstr>        Risky business</vt:lpstr>
      <vt:lpstr>        Helps students understand the financial risks associated with gambling and how r</vt:lpstr>
      <vt:lpstr>Years 5 and 6 </vt:lpstr>
      <vt:lpstr>    The Bridge</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Hince (Health)</dc:creator>
  <cp:keywords/>
  <dc:description/>
  <cp:lastModifiedBy>Andrea Hince (Health)</cp:lastModifiedBy>
  <cp:revision>56</cp:revision>
  <dcterms:created xsi:type="dcterms:W3CDTF">2026-02-16T22:26:00Z</dcterms:created>
  <dcterms:modified xsi:type="dcterms:W3CDTF">2026-02-18T21:31:00Z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4eeeef5,4886432a,a65d3f7</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2026-01-26T00:00:31Z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e40d0c3f-7cee-4f77-abad-6022d57c4a1e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0x01010040B41D49AF62A14FBE99B3421A7CCA96</vt:lpwstr>
  </property>
  <property fmtid="{D5CDD505-2E9C-101B-9397-08002B2CF9AE}" pid="14" name="docLang">
    <vt:lpwstr>en</vt:lpwstr>
  </property>
  <property fmtid="{D5CDD505-2E9C-101B-9397-08002B2CF9AE}" pid="15" name="MediaServiceImageTags">
    <vt:lpwstr/>
  </property>
  <property fmtid="{D5CDD505-2E9C-101B-9397-08002B2CF9AE}" pid="16" name="_dlc_DocIdItemGuid">
    <vt:lpwstr>9451ff82-35f1-4ab8-b762-5f6a6979d2b3</vt:lpwstr>
  </property>
  <property fmtid="{D5CDD505-2E9C-101B-9397-08002B2CF9AE}" pid="17" name="TaxKeyword">
    <vt:lpwstr/>
  </property>
</Properties>
</file>