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5AF29" w14:textId="1B2789A3" w:rsidR="003E6429" w:rsidRPr="009203C6" w:rsidRDefault="001C3317">
      <w:pPr>
        <w:rPr>
          <w:color w:val="000000" w:themeColor="text1"/>
        </w:rPr>
      </w:pPr>
      <w:r w:rsidRPr="009203C6">
        <w:rPr>
          <w:noProof/>
          <w:color w:val="000000" w:themeColor="text1"/>
        </w:rPr>
        <w:drawing>
          <wp:inline distT="0" distB="0" distL="0" distR="0" wp14:anchorId="3CD3EBD1" wp14:editId="745E1E84">
            <wp:extent cx="2992378" cy="762000"/>
            <wp:effectExtent l="0" t="0" r="0" b="0"/>
            <wp:docPr id="1601890906" name="Picture 2" descr="Be Ahead of the Game logo and Victoria State Government logo in gre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890906" name="Picture 2" descr="Be Ahead of the Game logo and Victoria State Government logo in green.">
                      <a:extLst>
                        <a:ext uri="{C183D7F6-B498-43B3-948B-1728B52AA6E4}">
                          <adec:decorative xmlns:adec="http://schemas.microsoft.com/office/drawing/2017/decorative" val="0"/>
                        </a:ext>
                      </a:extLst>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0167" t="22868" r="167" b="24031"/>
                    <a:stretch>
                      <a:fillRect/>
                    </a:stretch>
                  </pic:blipFill>
                  <pic:spPr bwMode="auto">
                    <a:xfrm>
                      <a:off x="0" y="0"/>
                      <a:ext cx="3024391" cy="770152"/>
                    </a:xfrm>
                    <a:prstGeom prst="rect">
                      <a:avLst/>
                    </a:prstGeom>
                    <a:noFill/>
                    <a:ln>
                      <a:noFill/>
                    </a:ln>
                    <a:extLst>
                      <a:ext uri="{53640926-AAD7-44D8-BBD7-CCE9431645EC}">
                        <a14:shadowObscured xmlns:a14="http://schemas.microsoft.com/office/drawing/2010/main"/>
                      </a:ext>
                    </a:extLst>
                  </pic:spPr>
                </pic:pic>
              </a:graphicData>
            </a:graphic>
          </wp:inline>
        </w:drawing>
      </w:r>
    </w:p>
    <w:p w14:paraId="475B70C0" w14:textId="77777777" w:rsidR="001C3317" w:rsidRPr="009203C6" w:rsidRDefault="001C3317">
      <w:pPr>
        <w:rPr>
          <w:color w:val="000000" w:themeColor="text1"/>
        </w:rPr>
      </w:pPr>
    </w:p>
    <w:p w14:paraId="4B232A9B" w14:textId="01465659" w:rsidR="008B0ACD" w:rsidRPr="009203C6" w:rsidRDefault="00DD7ACA" w:rsidP="000F034E">
      <w:pPr>
        <w:pStyle w:val="Title"/>
      </w:pPr>
      <w:r w:rsidRPr="009203C6">
        <w:t>Gambling awareness workshops for secondary schools</w:t>
      </w:r>
    </w:p>
    <w:p w14:paraId="0F912828" w14:textId="7948ADE1" w:rsidR="00936818" w:rsidRPr="003704CF" w:rsidRDefault="00ED4FA3" w:rsidP="003704CF">
      <w:pPr>
        <w:pStyle w:val="Heading1"/>
      </w:pPr>
      <w:r w:rsidRPr="003704CF">
        <w:t>How to get your school involved</w:t>
      </w:r>
    </w:p>
    <w:p w14:paraId="468EA87F" w14:textId="26145E4D" w:rsidR="001C3317" w:rsidRPr="009203C6" w:rsidRDefault="00197C08">
      <w:pPr>
        <w:rPr>
          <w:color w:val="000000" w:themeColor="text1"/>
        </w:rPr>
      </w:pPr>
      <w:r w:rsidRPr="009203C6">
        <w:rPr>
          <w:color w:val="000000" w:themeColor="text1"/>
        </w:rPr>
        <w:t>Victorian secondary schools can book any of our free Be Ahead of the Game workshops. Online or in-classroom, our interactive workshops are tailored to each year level and delivered by highly experienced community educators who specialise in educating young people about gambling risks.   </w:t>
      </w:r>
    </w:p>
    <w:p w14:paraId="1FDEA064" w14:textId="77777777" w:rsidR="00197C08" w:rsidRPr="003704CF" w:rsidRDefault="00197C08" w:rsidP="000F034E">
      <w:pPr>
        <w:pStyle w:val="Heading2"/>
      </w:pPr>
      <w:r w:rsidRPr="003704CF">
        <w:t>Book a free workshop for:</w:t>
      </w:r>
    </w:p>
    <w:p w14:paraId="6FEBC503" w14:textId="77777777" w:rsidR="00197C08" w:rsidRPr="002D6431" w:rsidRDefault="00197C08" w:rsidP="002D6431">
      <w:pPr>
        <w:pStyle w:val="Heading3"/>
        <w:ind w:left="720"/>
        <w:rPr>
          <w:u w:val="single"/>
        </w:rPr>
      </w:pPr>
      <w:r w:rsidRPr="002D6431">
        <w:rPr>
          <w:u w:val="single"/>
        </w:rPr>
        <w:t>Students</w:t>
      </w:r>
    </w:p>
    <w:p w14:paraId="5420E8B8" w14:textId="2DBE7F04" w:rsidR="00673797" w:rsidRPr="009203C6" w:rsidRDefault="00673797" w:rsidP="002D6431">
      <w:pPr>
        <w:pStyle w:val="ListParagraph"/>
        <w:numPr>
          <w:ilvl w:val="0"/>
          <w:numId w:val="8"/>
        </w:numPr>
        <w:ind w:left="1440"/>
        <w:rPr>
          <w:color w:val="000000" w:themeColor="text1"/>
        </w:rPr>
      </w:pPr>
      <w:r w:rsidRPr="009203C6">
        <w:rPr>
          <w:b/>
          <w:bCs/>
          <w:color w:val="000000" w:themeColor="text1"/>
        </w:rPr>
        <w:t>Know the score (years 7–12)</w:t>
      </w:r>
      <w:r w:rsidRPr="009203C6">
        <w:rPr>
          <w:color w:val="000000" w:themeColor="text1"/>
        </w:rPr>
        <w:t xml:space="preserve"> </w:t>
      </w:r>
      <w:r w:rsidR="000244EB" w:rsidRPr="009203C6">
        <w:rPr>
          <w:color w:val="000000" w:themeColor="text1"/>
        </w:rPr>
        <w:br/>
      </w:r>
      <w:r w:rsidRPr="009203C6">
        <w:rPr>
          <w:color w:val="000000" w:themeColor="text1"/>
        </w:rPr>
        <w:t>Helps students think critically about the risks of gambling and examines the factors that influence their attitudes toward gambling.</w:t>
      </w:r>
    </w:p>
    <w:p w14:paraId="64AD6A08" w14:textId="001B8669" w:rsidR="00673797" w:rsidRPr="009203C6" w:rsidRDefault="00673797" w:rsidP="002D6431">
      <w:pPr>
        <w:pStyle w:val="ListParagraph"/>
        <w:numPr>
          <w:ilvl w:val="0"/>
          <w:numId w:val="8"/>
        </w:numPr>
        <w:ind w:left="1440"/>
        <w:rPr>
          <w:color w:val="000000" w:themeColor="text1"/>
        </w:rPr>
      </w:pPr>
      <w:r w:rsidRPr="009203C6">
        <w:rPr>
          <w:b/>
          <w:bCs/>
          <w:color w:val="000000" w:themeColor="text1"/>
        </w:rPr>
        <w:t>When gaming meets gambling (years 7–12)</w:t>
      </w:r>
      <w:r w:rsidRPr="009203C6">
        <w:rPr>
          <w:color w:val="000000" w:themeColor="text1"/>
        </w:rPr>
        <w:t xml:space="preserve"> </w:t>
      </w:r>
      <w:r w:rsidR="000244EB" w:rsidRPr="009203C6">
        <w:rPr>
          <w:color w:val="000000" w:themeColor="text1"/>
        </w:rPr>
        <w:br/>
      </w:r>
      <w:r w:rsidRPr="009203C6">
        <w:rPr>
          <w:color w:val="000000" w:themeColor="text1"/>
        </w:rPr>
        <w:t>Explores the increasingly blurry line between gaming and gambling, helping students stay healthy, happy and safe.</w:t>
      </w:r>
    </w:p>
    <w:p w14:paraId="5B8CD889" w14:textId="3B002856" w:rsidR="00197C08" w:rsidRPr="009203C6" w:rsidRDefault="00673797" w:rsidP="002D6431">
      <w:pPr>
        <w:pStyle w:val="ListParagraph"/>
        <w:numPr>
          <w:ilvl w:val="0"/>
          <w:numId w:val="8"/>
        </w:numPr>
        <w:ind w:left="1440"/>
        <w:rPr>
          <w:b/>
          <w:bCs/>
          <w:color w:val="000000" w:themeColor="text1"/>
        </w:rPr>
      </w:pPr>
      <w:r w:rsidRPr="009203C6">
        <w:rPr>
          <w:b/>
          <w:bCs/>
          <w:color w:val="000000" w:themeColor="text1"/>
        </w:rPr>
        <w:t xml:space="preserve">Your money matters – Financial literacy (years 9–12) </w:t>
      </w:r>
      <w:r w:rsidR="000244EB" w:rsidRPr="009203C6">
        <w:rPr>
          <w:b/>
          <w:bCs/>
          <w:color w:val="000000" w:themeColor="text1"/>
        </w:rPr>
        <w:br/>
      </w:r>
      <w:r w:rsidRPr="009203C6">
        <w:rPr>
          <w:color w:val="000000" w:themeColor="text1"/>
        </w:rPr>
        <w:t>Helps students develop financial literacy skills while understanding the negative consequences of gambling.</w:t>
      </w:r>
    </w:p>
    <w:p w14:paraId="7A83AF9D" w14:textId="77777777" w:rsidR="00963765" w:rsidRPr="009203C6" w:rsidRDefault="00963765" w:rsidP="002D6431">
      <w:pPr>
        <w:pStyle w:val="ListParagraph"/>
        <w:ind w:left="1440"/>
        <w:rPr>
          <w:b/>
          <w:bCs/>
          <w:color w:val="000000" w:themeColor="text1"/>
        </w:rPr>
      </w:pPr>
    </w:p>
    <w:p w14:paraId="376E5868" w14:textId="58F61E54" w:rsidR="00963765" w:rsidRPr="002D6431" w:rsidRDefault="00963765" w:rsidP="002D6431">
      <w:pPr>
        <w:pStyle w:val="Heading3"/>
        <w:ind w:left="720"/>
        <w:rPr>
          <w:u w:val="single"/>
        </w:rPr>
      </w:pPr>
      <w:r w:rsidRPr="002D6431">
        <w:rPr>
          <w:u w:val="single"/>
        </w:rPr>
        <w:t>Parents and carers</w:t>
      </w:r>
    </w:p>
    <w:p w14:paraId="3C148F35" w14:textId="10183BF2" w:rsidR="007C0693" w:rsidRPr="009203C6" w:rsidRDefault="007C0693" w:rsidP="002D6431">
      <w:pPr>
        <w:pStyle w:val="ListParagraph"/>
        <w:numPr>
          <w:ilvl w:val="0"/>
          <w:numId w:val="10"/>
        </w:numPr>
        <w:ind w:left="1440"/>
        <w:rPr>
          <w:b/>
          <w:bCs/>
          <w:color w:val="000000" w:themeColor="text1"/>
        </w:rPr>
      </w:pPr>
      <w:r w:rsidRPr="009203C6">
        <w:rPr>
          <w:b/>
          <w:bCs/>
          <w:color w:val="000000" w:themeColor="text1"/>
        </w:rPr>
        <w:t xml:space="preserve">Talking to young people about gambling </w:t>
      </w:r>
      <w:r w:rsidR="000244EB" w:rsidRPr="009203C6">
        <w:rPr>
          <w:b/>
          <w:bCs/>
          <w:color w:val="000000" w:themeColor="text1"/>
        </w:rPr>
        <w:br/>
      </w:r>
      <w:r w:rsidRPr="009203C6">
        <w:rPr>
          <w:color w:val="000000" w:themeColor="text1"/>
        </w:rPr>
        <w:t>Focuses on the issue of young people and gambling and provides parents and carers with practical advice on how to talk to young people about it. </w:t>
      </w:r>
    </w:p>
    <w:p w14:paraId="46C71B0E" w14:textId="0CC06678" w:rsidR="00DD7B27" w:rsidRPr="009203C6" w:rsidRDefault="007C0693" w:rsidP="002D6431">
      <w:pPr>
        <w:pStyle w:val="ListParagraph"/>
        <w:numPr>
          <w:ilvl w:val="0"/>
          <w:numId w:val="9"/>
        </w:numPr>
        <w:ind w:left="1440"/>
        <w:rPr>
          <w:color w:val="000000" w:themeColor="text1"/>
        </w:rPr>
      </w:pPr>
      <w:r w:rsidRPr="009203C6">
        <w:rPr>
          <w:b/>
          <w:bCs/>
          <w:color w:val="000000" w:themeColor="text1"/>
        </w:rPr>
        <w:t>Talking to young people about gaming</w:t>
      </w:r>
      <w:r w:rsidRPr="009203C6">
        <w:rPr>
          <w:color w:val="000000" w:themeColor="text1"/>
        </w:rPr>
        <w:t xml:space="preserve"> </w:t>
      </w:r>
      <w:r w:rsidR="000244EB" w:rsidRPr="009203C6">
        <w:rPr>
          <w:color w:val="000000" w:themeColor="text1"/>
        </w:rPr>
        <w:br/>
      </w:r>
      <w:r w:rsidRPr="009203C6">
        <w:rPr>
          <w:color w:val="000000" w:themeColor="text1"/>
        </w:rPr>
        <w:t>Helps parents understand the way gambling has been integrated into gaming, and the risks of exposing young people to gambling-like features such as loot boxes, social casino games and microtransactions.</w:t>
      </w:r>
    </w:p>
    <w:p w14:paraId="4E38DE56" w14:textId="354DE019" w:rsidR="00990865" w:rsidRPr="002D6431" w:rsidRDefault="00107D19" w:rsidP="002D6431">
      <w:pPr>
        <w:pStyle w:val="Heading3"/>
        <w:ind w:left="720"/>
        <w:rPr>
          <w:u w:val="single"/>
        </w:rPr>
      </w:pPr>
      <w:r w:rsidRPr="002D6431">
        <w:rPr>
          <w:u w:val="single"/>
        </w:rPr>
        <w:lastRenderedPageBreak/>
        <w:t>Teachers</w:t>
      </w:r>
    </w:p>
    <w:p w14:paraId="76B67343" w14:textId="4C27BBDF" w:rsidR="00990865" w:rsidRPr="009203C6" w:rsidRDefault="000244EB" w:rsidP="002D6431">
      <w:pPr>
        <w:pStyle w:val="ListParagraph"/>
        <w:numPr>
          <w:ilvl w:val="0"/>
          <w:numId w:val="10"/>
        </w:numPr>
        <w:ind w:left="1440"/>
        <w:rPr>
          <w:b/>
          <w:bCs/>
          <w:color w:val="000000" w:themeColor="text1"/>
        </w:rPr>
      </w:pPr>
      <w:r w:rsidRPr="009203C6">
        <w:rPr>
          <w:b/>
          <w:bCs/>
          <w:color w:val="000000" w:themeColor="text1"/>
        </w:rPr>
        <w:t xml:space="preserve">Support your students to think critically about gambling </w:t>
      </w:r>
      <w:r w:rsidRPr="009203C6">
        <w:rPr>
          <w:b/>
          <w:bCs/>
          <w:color w:val="000000" w:themeColor="text1"/>
        </w:rPr>
        <w:br/>
      </w:r>
      <w:r w:rsidRPr="009203C6">
        <w:rPr>
          <w:color w:val="000000" w:themeColor="text1"/>
        </w:rPr>
        <w:t>Provides teachers with an understanding of the youth-related issues associated with gambling and gaming and offers strategies for developing a whole-of-school approach to the issue.</w:t>
      </w:r>
      <w:r w:rsidR="00990865" w:rsidRPr="009203C6">
        <w:rPr>
          <w:color w:val="000000" w:themeColor="text1"/>
        </w:rPr>
        <w:t> </w:t>
      </w:r>
    </w:p>
    <w:p w14:paraId="7ACA0000" w14:textId="77777777" w:rsidR="00DD7B27" w:rsidRPr="009203C6" w:rsidRDefault="00DD7B27" w:rsidP="00DD7B27">
      <w:pPr>
        <w:rPr>
          <w:color w:val="000000" w:themeColor="text1"/>
        </w:rPr>
      </w:pPr>
    </w:p>
    <w:p w14:paraId="1E2BE030" w14:textId="27C09420" w:rsidR="002E24B5" w:rsidRPr="003704CF" w:rsidRDefault="007D605B" w:rsidP="003704CF">
      <w:pPr>
        <w:pStyle w:val="Heading1"/>
      </w:pPr>
      <w:r w:rsidRPr="003704CF">
        <w:t>What is Be Ahead of the Game</w:t>
      </w:r>
      <w:r w:rsidR="002E24B5" w:rsidRPr="003704CF">
        <w:t>?</w:t>
      </w:r>
    </w:p>
    <w:p w14:paraId="66B4B65B" w14:textId="0F0AADAB" w:rsidR="004F72CB" w:rsidRPr="009203C6" w:rsidRDefault="00DE364B" w:rsidP="001C3317">
      <w:pPr>
        <w:rPr>
          <w:color w:val="000000" w:themeColor="text1"/>
        </w:rPr>
      </w:pPr>
      <w:r w:rsidRPr="009203C6">
        <w:rPr>
          <w:color w:val="000000" w:themeColor="text1"/>
        </w:rPr>
        <w:t>Be Ahead of the Game is a free school education program helping secondary school students think critically about gambling. Informed by latest research, the Victorian Government program not only teaches young people about the risks and realities of gambling, but supports parents, carers and educators to talk to kids about it.</w:t>
      </w:r>
    </w:p>
    <w:p w14:paraId="06CAB4D8" w14:textId="77777777" w:rsidR="00567629" w:rsidRPr="009203C6" w:rsidRDefault="00567629" w:rsidP="001C3317">
      <w:pPr>
        <w:rPr>
          <w:color w:val="000000" w:themeColor="text1"/>
        </w:rPr>
      </w:pPr>
    </w:p>
    <w:p w14:paraId="5C181611" w14:textId="65D0F842" w:rsidR="003D6880" w:rsidRPr="003704CF" w:rsidRDefault="00C67DB7" w:rsidP="003704CF">
      <w:pPr>
        <w:pStyle w:val="Heading1"/>
      </w:pPr>
      <w:r w:rsidRPr="003704CF">
        <w:t>What Victorian teachers and students are saying about Be Ahead of the Game workshops</w:t>
      </w:r>
      <w:r w:rsidR="004F72CB" w:rsidRPr="003704CF">
        <w:t xml:space="preserve"> </w:t>
      </w:r>
    </w:p>
    <w:p w14:paraId="7742318C" w14:textId="77777777" w:rsidR="002D6431" w:rsidRDefault="002D6431" w:rsidP="002D6431">
      <w:pPr>
        <w:pStyle w:val="Heading3"/>
      </w:pPr>
    </w:p>
    <w:p w14:paraId="2EB9F88F" w14:textId="021B957B" w:rsidR="003F7DA8" w:rsidRPr="002D6431" w:rsidRDefault="0072450E" w:rsidP="002D6431">
      <w:pPr>
        <w:pStyle w:val="Heading3"/>
      </w:pPr>
      <w:r w:rsidRPr="002D6431">
        <w:t>Teacher survey results</w:t>
      </w:r>
    </w:p>
    <w:p w14:paraId="4E7FECBC" w14:textId="77777777" w:rsidR="004B1768" w:rsidRPr="002D6431" w:rsidRDefault="004B1768" w:rsidP="002D6431">
      <w:pPr>
        <w:pStyle w:val="ListParagraph"/>
        <w:numPr>
          <w:ilvl w:val="0"/>
          <w:numId w:val="11"/>
        </w:numPr>
        <w:rPr>
          <w:color w:val="000000" w:themeColor="text1"/>
        </w:rPr>
      </w:pPr>
      <w:r w:rsidRPr="002D6431">
        <w:rPr>
          <w:b/>
          <w:bCs/>
          <w:color w:val="000000" w:themeColor="text1"/>
        </w:rPr>
        <w:t>100%</w:t>
      </w:r>
      <w:r w:rsidRPr="002D6431">
        <w:rPr>
          <w:color w:val="000000" w:themeColor="text1"/>
        </w:rPr>
        <w:t xml:space="preserve"> of teachers* said they would recommend Be Ahead of the Game student workshops to other teachers/schools. </w:t>
      </w:r>
    </w:p>
    <w:p w14:paraId="32723429" w14:textId="29888528" w:rsidR="005014F0" w:rsidRDefault="004B1768" w:rsidP="002D6431">
      <w:pPr>
        <w:ind w:left="360"/>
        <w:rPr>
          <w:color w:val="000000" w:themeColor="text1"/>
        </w:rPr>
      </w:pPr>
      <w:r w:rsidRPr="009203C6">
        <w:rPr>
          <w:color w:val="000000" w:themeColor="text1"/>
        </w:rPr>
        <w:t>*</w:t>
      </w:r>
      <w:r w:rsidR="005014F0" w:rsidRPr="009203C6">
        <w:rPr>
          <w:color w:val="000000" w:themeColor="text1"/>
        </w:rPr>
        <w:t xml:space="preserve"> </w:t>
      </w:r>
      <w:r w:rsidRPr="009203C6">
        <w:rPr>
          <w:color w:val="000000" w:themeColor="text1"/>
        </w:rPr>
        <w:t>Based on surveys of over 184 teachers in 2024/5.</w:t>
      </w:r>
    </w:p>
    <w:p w14:paraId="594BB874" w14:textId="77777777" w:rsidR="002D6431" w:rsidRPr="009203C6" w:rsidRDefault="002D6431" w:rsidP="002D6431">
      <w:pPr>
        <w:ind w:left="360"/>
        <w:rPr>
          <w:color w:val="000000" w:themeColor="text1"/>
        </w:rPr>
      </w:pPr>
    </w:p>
    <w:p w14:paraId="08DC49B7" w14:textId="77FDF7A3" w:rsidR="003D6880" w:rsidRPr="003704CF" w:rsidRDefault="002F26E0" w:rsidP="002D6431">
      <w:pPr>
        <w:pStyle w:val="Heading3"/>
      </w:pPr>
      <w:r w:rsidRPr="003704CF">
        <w:t>Student survey results</w:t>
      </w:r>
      <w:r w:rsidR="004F72CB" w:rsidRPr="003704CF">
        <w:t xml:space="preserve"> </w:t>
      </w:r>
    </w:p>
    <w:p w14:paraId="151E0293" w14:textId="4D00E8DF" w:rsidR="00391DA1" w:rsidRPr="009203C6" w:rsidRDefault="00391DA1" w:rsidP="00391DA1">
      <w:pPr>
        <w:rPr>
          <w:color w:val="000000" w:themeColor="text1"/>
        </w:rPr>
      </w:pPr>
      <w:r w:rsidRPr="009203C6">
        <w:rPr>
          <w:color w:val="000000" w:themeColor="text1"/>
        </w:rPr>
        <w:t>Percentage of students* who said they had a ‘good’ or ‘very good’ understanding of:</w:t>
      </w:r>
    </w:p>
    <w:p w14:paraId="5B4343F3" w14:textId="356FFFE7" w:rsidR="00391DA1" w:rsidRPr="009203C6" w:rsidRDefault="00391DA1" w:rsidP="00391DA1">
      <w:pPr>
        <w:pStyle w:val="ListParagraph"/>
        <w:numPr>
          <w:ilvl w:val="0"/>
          <w:numId w:val="10"/>
        </w:numPr>
        <w:rPr>
          <w:color w:val="000000" w:themeColor="text1"/>
        </w:rPr>
      </w:pPr>
      <w:r w:rsidRPr="009203C6">
        <w:rPr>
          <w:b/>
          <w:bCs/>
          <w:color w:val="000000" w:themeColor="text1"/>
        </w:rPr>
        <w:t>where people can go to get help for gambling harm</w:t>
      </w:r>
      <w:r w:rsidRPr="009203C6">
        <w:rPr>
          <w:color w:val="000000" w:themeColor="text1"/>
        </w:rPr>
        <w:t xml:space="preserve"> is between </w:t>
      </w:r>
      <w:r w:rsidRPr="009203C6">
        <w:rPr>
          <w:b/>
          <w:bCs/>
          <w:color w:val="000000" w:themeColor="text1"/>
        </w:rPr>
        <w:t>83% and 95%</w:t>
      </w:r>
      <w:r w:rsidRPr="009203C6">
        <w:rPr>
          <w:color w:val="000000" w:themeColor="text1"/>
        </w:rPr>
        <w:t xml:space="preserve"> </w:t>
      </w:r>
    </w:p>
    <w:p w14:paraId="1DDEEB53" w14:textId="55DB7570" w:rsidR="00391DA1" w:rsidRPr="009203C6" w:rsidRDefault="00391DA1" w:rsidP="00391DA1">
      <w:pPr>
        <w:pStyle w:val="ListParagraph"/>
        <w:numPr>
          <w:ilvl w:val="0"/>
          <w:numId w:val="10"/>
        </w:numPr>
        <w:rPr>
          <w:color w:val="000000" w:themeColor="text1"/>
        </w:rPr>
      </w:pPr>
      <w:r w:rsidRPr="009203C6">
        <w:rPr>
          <w:b/>
          <w:bCs/>
          <w:color w:val="000000" w:themeColor="text1"/>
        </w:rPr>
        <w:t>the signs that someone is experiencing gambling</w:t>
      </w:r>
      <w:r w:rsidRPr="009203C6">
        <w:rPr>
          <w:color w:val="000000" w:themeColor="text1"/>
        </w:rPr>
        <w:t xml:space="preserve"> harm is between </w:t>
      </w:r>
      <w:r w:rsidRPr="009203C6">
        <w:rPr>
          <w:b/>
          <w:bCs/>
          <w:color w:val="000000" w:themeColor="text1"/>
        </w:rPr>
        <w:t>84% and 94%</w:t>
      </w:r>
      <w:r w:rsidRPr="009203C6">
        <w:rPr>
          <w:color w:val="000000" w:themeColor="text1"/>
        </w:rPr>
        <w:t xml:space="preserve"> </w:t>
      </w:r>
    </w:p>
    <w:p w14:paraId="0E62451B" w14:textId="7FC556F9" w:rsidR="00391DA1" w:rsidRPr="009203C6" w:rsidRDefault="00391DA1" w:rsidP="00391DA1">
      <w:pPr>
        <w:pStyle w:val="ListParagraph"/>
        <w:numPr>
          <w:ilvl w:val="0"/>
          <w:numId w:val="10"/>
        </w:numPr>
        <w:rPr>
          <w:color w:val="000000" w:themeColor="text1"/>
        </w:rPr>
      </w:pPr>
      <w:r w:rsidRPr="009203C6">
        <w:rPr>
          <w:b/>
          <w:bCs/>
          <w:color w:val="000000" w:themeColor="text1"/>
        </w:rPr>
        <w:t>how gambling can affect someone’s wellbeing</w:t>
      </w:r>
      <w:r w:rsidRPr="009203C6">
        <w:rPr>
          <w:color w:val="000000" w:themeColor="text1"/>
        </w:rPr>
        <w:t xml:space="preserve"> is between </w:t>
      </w:r>
      <w:r w:rsidRPr="009203C6">
        <w:rPr>
          <w:b/>
          <w:bCs/>
          <w:color w:val="000000" w:themeColor="text1"/>
        </w:rPr>
        <w:t>89% and 96%</w:t>
      </w:r>
      <w:r w:rsidRPr="009203C6">
        <w:rPr>
          <w:color w:val="000000" w:themeColor="text1"/>
        </w:rPr>
        <w:t xml:space="preserve">  </w:t>
      </w:r>
    </w:p>
    <w:p w14:paraId="6B01E543" w14:textId="77777777" w:rsidR="00391DA1" w:rsidRPr="009203C6" w:rsidRDefault="00391DA1" w:rsidP="00391DA1">
      <w:pPr>
        <w:pStyle w:val="ListParagraph"/>
        <w:numPr>
          <w:ilvl w:val="0"/>
          <w:numId w:val="10"/>
        </w:numPr>
        <w:rPr>
          <w:color w:val="000000" w:themeColor="text1"/>
        </w:rPr>
      </w:pPr>
      <w:r w:rsidRPr="009203C6">
        <w:rPr>
          <w:b/>
          <w:bCs/>
          <w:color w:val="000000" w:themeColor="text1"/>
        </w:rPr>
        <w:t>how gambling can affect a community</w:t>
      </w:r>
      <w:r w:rsidRPr="009203C6">
        <w:rPr>
          <w:color w:val="000000" w:themeColor="text1"/>
        </w:rPr>
        <w:t xml:space="preserve"> is between </w:t>
      </w:r>
      <w:r w:rsidRPr="009203C6">
        <w:rPr>
          <w:b/>
          <w:bCs/>
          <w:color w:val="000000" w:themeColor="text1"/>
        </w:rPr>
        <w:t>82% and 92%</w:t>
      </w:r>
      <w:r w:rsidRPr="009203C6">
        <w:rPr>
          <w:color w:val="000000" w:themeColor="text1"/>
        </w:rPr>
        <w:t xml:space="preserve"> </w:t>
      </w:r>
    </w:p>
    <w:p w14:paraId="2041C1BA" w14:textId="58FBBA4B" w:rsidR="00391DA1" w:rsidRPr="009203C6" w:rsidRDefault="00391DA1" w:rsidP="002D6431">
      <w:pPr>
        <w:ind w:left="360"/>
        <w:rPr>
          <w:color w:val="000000" w:themeColor="text1"/>
        </w:rPr>
      </w:pPr>
      <w:r w:rsidRPr="009203C6">
        <w:rPr>
          <w:color w:val="000000" w:themeColor="text1"/>
        </w:rPr>
        <w:t>*Based on surveys of over 5,500 students who completed a Be Ahead of the Game workshop in 2024/5.</w:t>
      </w:r>
    </w:p>
    <w:p w14:paraId="5D56C70C" w14:textId="77777777" w:rsidR="00391DA1" w:rsidRPr="009203C6" w:rsidRDefault="00391DA1" w:rsidP="00391DA1">
      <w:pPr>
        <w:pStyle w:val="Heading1"/>
        <w:rPr>
          <w:rFonts w:asciiTheme="minorHAnsi" w:eastAsiaTheme="minorHAnsi" w:hAnsiTheme="minorHAnsi" w:cstheme="minorBidi"/>
          <w:color w:val="000000" w:themeColor="text1"/>
          <w:sz w:val="24"/>
          <w:szCs w:val="24"/>
        </w:rPr>
      </w:pPr>
    </w:p>
    <w:p w14:paraId="33B732F1" w14:textId="225EA0C2" w:rsidR="00936818" w:rsidRDefault="00A82E8F" w:rsidP="003704CF">
      <w:pPr>
        <w:pStyle w:val="Heading1"/>
      </w:pPr>
      <w:r w:rsidRPr="009203C6">
        <w:t xml:space="preserve">Quotes from </w:t>
      </w:r>
      <w:r w:rsidR="002D6431">
        <w:t xml:space="preserve">Victorian </w:t>
      </w:r>
      <w:r w:rsidRPr="009203C6">
        <w:t>teachers</w:t>
      </w:r>
      <w:r w:rsidR="002D6431">
        <w:t xml:space="preserve"> about Be Ahead of the Game workshops</w:t>
      </w:r>
    </w:p>
    <w:p w14:paraId="0A6CEFB9" w14:textId="77777777" w:rsidR="002D6431" w:rsidRPr="002D6431" w:rsidRDefault="002D6431" w:rsidP="002D6431"/>
    <w:p w14:paraId="0FA9CF5F" w14:textId="4CB930FB" w:rsidR="00A82E8F" w:rsidRDefault="002D6431" w:rsidP="002D6431">
      <w:pPr>
        <w:pStyle w:val="ListParagraph"/>
        <w:numPr>
          <w:ilvl w:val="0"/>
          <w:numId w:val="11"/>
        </w:numPr>
        <w:tabs>
          <w:tab w:val="left" w:pos="5019"/>
        </w:tabs>
        <w:rPr>
          <w:color w:val="000000" w:themeColor="text1"/>
          <w:spacing w:val="-3"/>
        </w:rPr>
      </w:pPr>
      <w:r w:rsidRPr="002D6431">
        <w:rPr>
          <w:color w:val="000000" w:themeColor="text1"/>
        </w:rPr>
        <w:t>‘</w:t>
      </w:r>
      <w:r w:rsidR="00A82E8F" w:rsidRPr="002D6431">
        <w:rPr>
          <w:color w:val="000000" w:themeColor="text1"/>
        </w:rPr>
        <w:t xml:space="preserve">Such an important topic for students to consider and be educated about. The presentation was at the level of the </w:t>
      </w:r>
      <w:r w:rsidR="00A82E8F" w:rsidRPr="002D6431">
        <w:rPr>
          <w:color w:val="000000" w:themeColor="text1"/>
          <w:spacing w:val="-3"/>
        </w:rPr>
        <w:t>students and there was lots of chat between students on what they were learning about.</w:t>
      </w:r>
      <w:r w:rsidRPr="002D6431">
        <w:rPr>
          <w:color w:val="000000" w:themeColor="text1"/>
          <w:spacing w:val="-3"/>
        </w:rPr>
        <w:t>’</w:t>
      </w:r>
    </w:p>
    <w:p w14:paraId="2BD4318D" w14:textId="77777777" w:rsidR="002D6431" w:rsidRPr="002D6431" w:rsidRDefault="002D6431" w:rsidP="002D6431">
      <w:pPr>
        <w:pStyle w:val="ListParagraph"/>
        <w:tabs>
          <w:tab w:val="left" w:pos="5019"/>
        </w:tabs>
        <w:rPr>
          <w:color w:val="000000" w:themeColor="text1"/>
          <w:spacing w:val="-3"/>
        </w:rPr>
      </w:pPr>
    </w:p>
    <w:p w14:paraId="77060B0E" w14:textId="7DD7E66C" w:rsidR="002D6431" w:rsidRPr="002D6431" w:rsidRDefault="002D6431" w:rsidP="002D6431">
      <w:pPr>
        <w:pStyle w:val="ListParagraph"/>
        <w:numPr>
          <w:ilvl w:val="0"/>
          <w:numId w:val="11"/>
        </w:numPr>
        <w:tabs>
          <w:tab w:val="left" w:pos="5019"/>
        </w:tabs>
        <w:rPr>
          <w:color w:val="000000" w:themeColor="text1"/>
          <w:spacing w:val="-3"/>
        </w:rPr>
      </w:pPr>
      <w:r w:rsidRPr="002D6431">
        <w:rPr>
          <w:color w:val="000000" w:themeColor="text1"/>
          <w:spacing w:val="-3"/>
        </w:rPr>
        <w:t>‘</w:t>
      </w:r>
      <w:r w:rsidR="00C75403" w:rsidRPr="002D6431">
        <w:rPr>
          <w:color w:val="000000" w:themeColor="text1"/>
          <w:spacing w:val="-3"/>
        </w:rPr>
        <w:t>An eye-opening presentation exposing students to new information and concepts.</w:t>
      </w:r>
      <w:r w:rsidRPr="002D6431">
        <w:rPr>
          <w:color w:val="000000" w:themeColor="text1"/>
          <w:spacing w:val="-3"/>
        </w:rPr>
        <w:t>’</w:t>
      </w:r>
    </w:p>
    <w:p w14:paraId="2173EADE" w14:textId="77777777" w:rsidR="002D6431" w:rsidRPr="002D6431" w:rsidRDefault="002D6431" w:rsidP="002D6431">
      <w:pPr>
        <w:pStyle w:val="ListParagraph"/>
        <w:tabs>
          <w:tab w:val="left" w:pos="5019"/>
        </w:tabs>
        <w:rPr>
          <w:color w:val="000000" w:themeColor="text1"/>
          <w:spacing w:val="-3"/>
        </w:rPr>
      </w:pPr>
    </w:p>
    <w:p w14:paraId="7BB8DFB6" w14:textId="5F7023BC" w:rsidR="00C75403" w:rsidRDefault="002D6431" w:rsidP="002D6431">
      <w:pPr>
        <w:pStyle w:val="ListParagraph"/>
        <w:numPr>
          <w:ilvl w:val="0"/>
          <w:numId w:val="11"/>
        </w:numPr>
        <w:tabs>
          <w:tab w:val="left" w:pos="5019"/>
        </w:tabs>
        <w:rPr>
          <w:color w:val="000000" w:themeColor="text1"/>
          <w:spacing w:val="-3"/>
        </w:rPr>
      </w:pPr>
      <w:r w:rsidRPr="002D6431">
        <w:rPr>
          <w:color w:val="000000" w:themeColor="text1"/>
          <w:spacing w:val="-3"/>
        </w:rPr>
        <w:t>‘</w:t>
      </w:r>
      <w:r w:rsidR="00C75403" w:rsidRPr="002D6431">
        <w:rPr>
          <w:color w:val="000000" w:themeColor="text1"/>
          <w:spacing w:val="-3"/>
        </w:rPr>
        <w:t>Great to have a presenter who knows about the topic and can engage students in it.</w:t>
      </w:r>
      <w:r w:rsidRPr="002D6431">
        <w:rPr>
          <w:color w:val="000000" w:themeColor="text1"/>
          <w:spacing w:val="-3"/>
        </w:rPr>
        <w:t>’</w:t>
      </w:r>
    </w:p>
    <w:p w14:paraId="71C17B0B" w14:textId="77777777" w:rsidR="002D6431" w:rsidRPr="002D6431" w:rsidRDefault="002D6431" w:rsidP="002D6431">
      <w:pPr>
        <w:pStyle w:val="ListParagraph"/>
        <w:tabs>
          <w:tab w:val="left" w:pos="5019"/>
        </w:tabs>
        <w:rPr>
          <w:color w:val="000000" w:themeColor="text1"/>
          <w:spacing w:val="-3"/>
        </w:rPr>
      </w:pPr>
    </w:p>
    <w:p w14:paraId="465C3498" w14:textId="40292C03" w:rsidR="00C75403" w:rsidRPr="002D6431" w:rsidRDefault="002D6431" w:rsidP="002D6431">
      <w:pPr>
        <w:pStyle w:val="ListParagraph"/>
        <w:numPr>
          <w:ilvl w:val="0"/>
          <w:numId w:val="11"/>
        </w:numPr>
        <w:tabs>
          <w:tab w:val="left" w:pos="5019"/>
        </w:tabs>
        <w:rPr>
          <w:color w:val="000000" w:themeColor="text1"/>
          <w:spacing w:val="-3"/>
        </w:rPr>
      </w:pPr>
      <w:r w:rsidRPr="002D6431">
        <w:rPr>
          <w:color w:val="000000" w:themeColor="text1"/>
          <w:spacing w:val="-3"/>
        </w:rPr>
        <w:t>‘</w:t>
      </w:r>
      <w:r w:rsidR="00C75403" w:rsidRPr="002D6431">
        <w:rPr>
          <w:color w:val="000000" w:themeColor="text1"/>
          <w:spacing w:val="-3"/>
        </w:rPr>
        <w:t>The presentation was a good length for students and utilised a variety of methods to keep the session engaging and appropriate.</w:t>
      </w:r>
      <w:r w:rsidRPr="002D6431">
        <w:rPr>
          <w:color w:val="000000" w:themeColor="text1"/>
          <w:spacing w:val="-3"/>
        </w:rPr>
        <w:t>’</w:t>
      </w:r>
    </w:p>
    <w:p w14:paraId="7F3CC53D" w14:textId="77777777" w:rsidR="002D6431" w:rsidRPr="002D6431" w:rsidRDefault="002D6431" w:rsidP="00A82E8F">
      <w:pPr>
        <w:tabs>
          <w:tab w:val="left" w:pos="5019"/>
        </w:tabs>
        <w:rPr>
          <w:color w:val="000000" w:themeColor="text1"/>
          <w:spacing w:val="-3"/>
        </w:rPr>
      </w:pPr>
    </w:p>
    <w:p w14:paraId="1B2C52AE" w14:textId="77777777" w:rsidR="00C75403" w:rsidRPr="009203C6" w:rsidRDefault="00C75403" w:rsidP="00A82E8F">
      <w:pPr>
        <w:tabs>
          <w:tab w:val="left" w:pos="5019"/>
        </w:tabs>
        <w:rPr>
          <w:i/>
          <w:iCs/>
          <w:color w:val="000000" w:themeColor="text1"/>
          <w:spacing w:val="-3"/>
        </w:rPr>
      </w:pPr>
    </w:p>
    <w:p w14:paraId="1AF1C30D" w14:textId="61711655" w:rsidR="00567629" w:rsidRPr="009203C6" w:rsidRDefault="009203C6" w:rsidP="00A82E8F">
      <w:pPr>
        <w:tabs>
          <w:tab w:val="left" w:pos="5019"/>
        </w:tabs>
        <w:rPr>
          <w:i/>
          <w:iCs/>
          <w:color w:val="000000" w:themeColor="text1"/>
          <w:spacing w:val="-3"/>
        </w:rPr>
      </w:pPr>
      <w:r w:rsidRPr="009203C6">
        <w:rPr>
          <w:i/>
          <w:iCs/>
          <w:noProof/>
          <w:color w:val="000000" w:themeColor="text1"/>
          <w:spacing w:val="-3"/>
        </w:rPr>
        <w:drawing>
          <wp:inline distT="0" distB="0" distL="0" distR="0" wp14:anchorId="32614054" wp14:editId="453533DD">
            <wp:extent cx="901700" cy="901700"/>
            <wp:effectExtent l="0" t="0" r="0" b="0"/>
            <wp:docPr id="943119665" name="Picture 1"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119665" name="Picture 1" descr="QR code"/>
                    <pic:cNvPicPr/>
                  </pic:nvPicPr>
                  <pic:blipFill>
                    <a:blip r:embed="rId12"/>
                    <a:stretch>
                      <a:fillRect/>
                    </a:stretch>
                  </pic:blipFill>
                  <pic:spPr>
                    <a:xfrm>
                      <a:off x="0" y="0"/>
                      <a:ext cx="901700" cy="901700"/>
                    </a:xfrm>
                    <a:prstGeom prst="rect">
                      <a:avLst/>
                    </a:prstGeom>
                  </pic:spPr>
                </pic:pic>
              </a:graphicData>
            </a:graphic>
          </wp:inline>
        </w:drawing>
      </w:r>
    </w:p>
    <w:p w14:paraId="75AFF03A" w14:textId="352B607C" w:rsidR="001C15E3" w:rsidRPr="009203C6" w:rsidRDefault="00C75403" w:rsidP="00A82E8F">
      <w:pPr>
        <w:rPr>
          <w:color w:val="000000" w:themeColor="text1"/>
        </w:rPr>
      </w:pPr>
      <w:r w:rsidRPr="009203C6">
        <w:rPr>
          <w:color w:val="000000" w:themeColor="text1"/>
        </w:rPr>
        <w:t xml:space="preserve">Scan to book a free workshop or visit </w:t>
      </w:r>
      <w:r w:rsidRPr="009203C6">
        <w:rPr>
          <w:b/>
          <w:bCs/>
          <w:color w:val="000000" w:themeColor="text1"/>
        </w:rPr>
        <w:t>beaheadofthegame.vic.gov.au</w:t>
      </w:r>
      <w:r w:rsidRPr="009203C6">
        <w:rPr>
          <w:color w:val="000000" w:themeColor="text1"/>
        </w:rPr>
        <w:t xml:space="preserve"> for more info.</w:t>
      </w:r>
      <w:r w:rsidR="009203C6">
        <w:rPr>
          <w:color w:val="000000" w:themeColor="text1"/>
        </w:rPr>
        <w:t xml:space="preserve"> </w:t>
      </w:r>
      <w:r w:rsidRPr="009203C6">
        <w:rPr>
          <w:color w:val="000000" w:themeColor="text1"/>
        </w:rPr>
        <w:t xml:space="preserve">Alternatively, email us at </w:t>
      </w:r>
      <w:r w:rsidRPr="009203C6">
        <w:rPr>
          <w:b/>
          <w:bCs/>
          <w:color w:val="000000" w:themeColor="text1"/>
        </w:rPr>
        <w:t>beaheadofthegame@health.vic.gov.au</w:t>
      </w:r>
      <w:r w:rsidR="001C15E3" w:rsidRPr="009203C6">
        <w:rPr>
          <w:color w:val="000000" w:themeColor="text1"/>
        </w:rPr>
        <w:br/>
      </w:r>
      <w:r w:rsidR="001C15E3" w:rsidRPr="009203C6">
        <w:rPr>
          <w:color w:val="000000" w:themeColor="text1"/>
        </w:rPr>
        <w:br/>
      </w:r>
      <w:r w:rsidR="001C15E3" w:rsidRPr="009203C6">
        <w:rPr>
          <w:color w:val="000000" w:themeColor="text1"/>
        </w:rPr>
        <w:br/>
      </w:r>
      <w:r w:rsidR="001C15E3" w:rsidRPr="009203C6">
        <w:rPr>
          <w:color w:val="000000" w:themeColor="text1"/>
        </w:rPr>
        <w:br/>
      </w:r>
      <w:r w:rsidR="001C15E3" w:rsidRPr="009203C6">
        <w:rPr>
          <w:color w:val="000000" w:themeColor="text1"/>
        </w:rPr>
        <w:br/>
      </w:r>
      <w:r w:rsidR="001C15E3" w:rsidRPr="009203C6">
        <w:rPr>
          <w:color w:val="000000" w:themeColor="text1"/>
        </w:rPr>
        <w:br/>
      </w:r>
      <w:r w:rsidR="001C15E3" w:rsidRPr="009203C6">
        <w:rPr>
          <w:color w:val="000000" w:themeColor="text1"/>
        </w:rPr>
        <w:br/>
      </w:r>
      <w:r w:rsidR="001C15E3" w:rsidRPr="009203C6">
        <w:rPr>
          <w:color w:val="000000" w:themeColor="text1"/>
        </w:rPr>
        <w:br/>
      </w:r>
      <w:r w:rsidR="001C15E3" w:rsidRPr="009203C6">
        <w:rPr>
          <w:color w:val="000000" w:themeColor="text1"/>
        </w:rPr>
        <w:br/>
      </w:r>
      <w:r w:rsidR="001C15E3" w:rsidRPr="009203C6">
        <w:rPr>
          <w:color w:val="000000" w:themeColor="text1"/>
        </w:rPr>
        <w:br/>
      </w:r>
    </w:p>
    <w:p w14:paraId="03CEC08F" w14:textId="77777777" w:rsidR="001C15E3" w:rsidRPr="009203C6" w:rsidRDefault="001C15E3" w:rsidP="00A82E8F">
      <w:pPr>
        <w:rPr>
          <w:color w:val="000000" w:themeColor="text1"/>
        </w:rPr>
      </w:pPr>
    </w:p>
    <w:sectPr w:rsidR="001C15E3" w:rsidRPr="009203C6">
      <w:headerReference w:type="default" r:id="rId13"/>
      <w:footerReference w:type="even" r:id="rId14"/>
      <w:footerReference w:type="defaul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FA5C1" w14:textId="77777777" w:rsidR="00246AD3" w:rsidRDefault="00246AD3" w:rsidP="001C3317">
      <w:pPr>
        <w:spacing w:after="0" w:line="240" w:lineRule="auto"/>
      </w:pPr>
      <w:r>
        <w:separator/>
      </w:r>
    </w:p>
  </w:endnote>
  <w:endnote w:type="continuationSeparator" w:id="0">
    <w:p w14:paraId="5A795F17" w14:textId="77777777" w:rsidR="00246AD3" w:rsidRDefault="00246AD3" w:rsidP="001C3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panose1 w:val="00000000000000000000"/>
    <w:charset w:val="00"/>
    <w:family w:val="auto"/>
    <w:notTrueType/>
    <w:pitch w:val="variable"/>
    <w:sig w:usb0="00000003" w:usb1="00000000" w:usb2="00000000" w:usb3="00000000" w:csb0="0000000B"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8F45D" w14:textId="274E2D1B" w:rsidR="0076376A" w:rsidRDefault="0076376A">
    <w:pPr>
      <w:pStyle w:val="Footer"/>
    </w:pPr>
    <w:r>
      <w:rPr>
        <w:noProof/>
      </w:rPr>
      <mc:AlternateContent>
        <mc:Choice Requires="wps">
          <w:drawing>
            <wp:anchor distT="0" distB="0" distL="0" distR="0" simplePos="0" relativeHeight="251658241" behindDoc="0" locked="0" layoutInCell="1" allowOverlap="1" wp14:anchorId="7D253E92" wp14:editId="591B32B7">
              <wp:simplePos x="635" y="635"/>
              <wp:positionH relativeFrom="page">
                <wp:align>center</wp:align>
              </wp:positionH>
              <wp:positionV relativeFrom="page">
                <wp:align>bottom</wp:align>
              </wp:positionV>
              <wp:extent cx="656590" cy="398145"/>
              <wp:effectExtent l="0" t="0" r="10160" b="0"/>
              <wp:wrapNone/>
              <wp:docPr id="121675857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8145"/>
                      </a:xfrm>
                      <a:prstGeom prst="rect">
                        <a:avLst/>
                      </a:prstGeom>
                      <a:noFill/>
                      <a:ln>
                        <a:noFill/>
                      </a:ln>
                    </wps:spPr>
                    <wps:txbx>
                      <w:txbxContent>
                        <w:p w14:paraId="4861B483" w14:textId="6756D0BE" w:rsidR="0076376A" w:rsidRPr="0076376A" w:rsidRDefault="0076376A" w:rsidP="0076376A">
                          <w:pPr>
                            <w:spacing w:after="0"/>
                            <w:rPr>
                              <w:rFonts w:ascii="Arial Black" w:eastAsia="Arial Black" w:hAnsi="Arial Black" w:cs="Arial Black"/>
                              <w:noProof/>
                              <w:color w:val="000000"/>
                              <w:sz w:val="20"/>
                              <w:szCs w:val="20"/>
                            </w:rPr>
                          </w:pPr>
                          <w:r w:rsidRPr="0076376A">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253E92" id="_x0000_t202" coordsize="21600,21600" o:spt="202" path="m,l,21600r21600,l21600,xe">
              <v:stroke joinstyle="miter"/>
              <v:path gradientshapeok="t" o:connecttype="rect"/>
            </v:shapetype>
            <v:shape id="Text Box 4" o:spid="_x0000_s1026" type="#_x0000_t202" alt="OFFICIAL" style="position:absolute;margin-left:0;margin-top:0;width:51.7pt;height:31.3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" filled="f" stroked="f">
              <v:textbox style="mso-fit-shape-to-text:t" inset="0,0,0,15pt">
                <w:txbxContent>
                  <w:p w14:paraId="4861B483" w14:textId="6756D0BE" w:rsidR="0076376A" w:rsidRPr="0076376A" w:rsidRDefault="0076376A" w:rsidP="0076376A">
                    <w:pPr>
                      <w:spacing w:after="0"/>
                      <w:rPr>
                        <w:rFonts w:ascii="Arial Black" w:eastAsia="Arial Black" w:hAnsi="Arial Black" w:cs="Arial Black"/>
                        <w:noProof/>
                        <w:color w:val="000000"/>
                        <w:sz w:val="20"/>
                        <w:szCs w:val="20"/>
                      </w:rPr>
                    </w:pPr>
                    <w:r w:rsidRPr="0076376A">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7160A" w14:textId="4EC124AA" w:rsidR="00D72DB7" w:rsidRDefault="0076376A">
    <w:pPr>
      <w:pStyle w:val="Footer"/>
      <w:jc w:val="right"/>
    </w:pPr>
    <w:r>
      <w:rPr>
        <w:noProof/>
      </w:rPr>
      <mc:AlternateContent>
        <mc:Choice Requires="wps">
          <w:drawing>
            <wp:anchor distT="0" distB="0" distL="0" distR="0" simplePos="0" relativeHeight="251658242" behindDoc="0" locked="0" layoutInCell="1" allowOverlap="1" wp14:anchorId="62A85E74" wp14:editId="2C810582">
              <wp:simplePos x="914400" y="9867900"/>
              <wp:positionH relativeFrom="page">
                <wp:align>center</wp:align>
              </wp:positionH>
              <wp:positionV relativeFrom="page">
                <wp:align>bottom</wp:align>
              </wp:positionV>
              <wp:extent cx="656590" cy="398145"/>
              <wp:effectExtent l="0" t="0" r="10160" b="0"/>
              <wp:wrapNone/>
              <wp:docPr id="17444555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8145"/>
                      </a:xfrm>
                      <a:prstGeom prst="rect">
                        <a:avLst/>
                      </a:prstGeom>
                      <a:noFill/>
                      <a:ln>
                        <a:noFill/>
                      </a:ln>
                    </wps:spPr>
                    <wps:txbx>
                      <w:txbxContent>
                        <w:p w14:paraId="512390ED" w14:textId="5C7BAE76" w:rsidR="0076376A" w:rsidRPr="008467A6" w:rsidRDefault="0076376A" w:rsidP="0076376A">
                          <w:pPr>
                            <w:spacing w:after="0"/>
                            <w:rPr>
                              <w:rFonts w:ascii="Arial Black" w:eastAsia="Arial Black" w:hAnsi="Arial Black" w:cs="Arial Black"/>
                              <w:noProof/>
                              <w:color w:val="FFFFFF" w:themeColor="background1"/>
                              <w:sz w:val="20"/>
                              <w:szCs w:val="20"/>
                            </w:rPr>
                          </w:pPr>
                          <w:r w:rsidRPr="008467A6">
                            <w:rPr>
                              <w:rFonts w:ascii="Arial Black" w:eastAsia="Arial Black" w:hAnsi="Arial Black" w:cs="Arial Black"/>
                              <w:noProof/>
                              <w:color w:val="FFFFFF" w:themeColor="background1"/>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A85E74" id="_x0000_t202" coordsize="21600,21600" o:spt="202" path="m,l,21600r21600,l21600,xe">
              <v:stroke joinstyle="miter"/>
              <v:path gradientshapeok="t" o:connecttype="rect"/>
            </v:shapetype>
            <v:shape id="Text Box 5" o:spid="_x0000_s1027" type="#_x0000_t202" alt="OFFICIAL" style="position:absolute;left:0;text-align:left;margin-left:0;margin-top:0;width:51.7pt;height:31.3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" filled="f" stroked="f">
              <v:textbox style="mso-fit-shape-to-text:t" inset="0,0,0,15pt">
                <w:txbxContent>
                  <w:p w14:paraId="512390ED" w14:textId="5C7BAE76" w:rsidR="0076376A" w:rsidRPr="008467A6" w:rsidRDefault="0076376A" w:rsidP="0076376A">
                    <w:pPr>
                      <w:spacing w:after="0"/>
                      <w:rPr>
                        <w:rFonts w:ascii="Arial Black" w:eastAsia="Arial Black" w:hAnsi="Arial Black" w:cs="Arial Black"/>
                        <w:noProof/>
                        <w:color w:val="FFFFFF" w:themeColor="background1"/>
                        <w:sz w:val="20"/>
                        <w:szCs w:val="20"/>
                      </w:rPr>
                    </w:pPr>
                    <w:r w:rsidRPr="008467A6">
                      <w:rPr>
                        <w:rFonts w:ascii="Arial Black" w:eastAsia="Arial Black" w:hAnsi="Arial Black" w:cs="Arial Black"/>
                        <w:noProof/>
                        <w:color w:val="FFFFFF" w:themeColor="background1"/>
                        <w:sz w:val="20"/>
                        <w:szCs w:val="20"/>
                      </w:rPr>
                      <w:t>OFFICIAL</w:t>
                    </w:r>
                  </w:p>
                </w:txbxContent>
              </v:textbox>
              <w10:wrap anchorx="page" anchory="page"/>
            </v:shape>
          </w:pict>
        </mc:Fallback>
      </mc:AlternateContent>
    </w:r>
    <w:sdt>
      <w:sdtPr>
        <w:id w:val="-643426864"/>
        <w:docPartObj>
          <w:docPartGallery w:val="Page Numbers (Bottom of Page)"/>
          <w:docPartUnique/>
        </w:docPartObj>
      </w:sdtPr>
      <w:sdtEndPr>
        <w:rPr>
          <w:noProof/>
        </w:rPr>
      </w:sdtEndPr>
      <w:sdtContent>
        <w:r w:rsidR="00D72DB7">
          <w:fldChar w:fldCharType="begin"/>
        </w:r>
        <w:r w:rsidR="00D72DB7">
          <w:instrText xml:space="preserve"> PAGE   \* MERGEFORMAT </w:instrText>
        </w:r>
        <w:r w:rsidR="00D72DB7">
          <w:fldChar w:fldCharType="separate"/>
        </w:r>
        <w:r w:rsidR="00D72DB7">
          <w:rPr>
            <w:noProof/>
          </w:rPr>
          <w:t>2</w:t>
        </w:r>
        <w:r w:rsidR="00D72DB7">
          <w:rPr>
            <w:noProof/>
          </w:rPr>
          <w:fldChar w:fldCharType="end"/>
        </w:r>
      </w:sdtContent>
    </w:sdt>
  </w:p>
  <w:p w14:paraId="2705D37E" w14:textId="77777777" w:rsidR="00D72DB7" w:rsidRDefault="00D72D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3FA8" w14:textId="193A9DC4" w:rsidR="0076376A" w:rsidRDefault="0076376A">
    <w:pPr>
      <w:pStyle w:val="Footer"/>
    </w:pPr>
    <w:r>
      <w:rPr>
        <w:noProof/>
      </w:rPr>
      <mc:AlternateContent>
        <mc:Choice Requires="wps">
          <w:drawing>
            <wp:anchor distT="0" distB="0" distL="0" distR="0" simplePos="0" relativeHeight="251658240" behindDoc="0" locked="0" layoutInCell="1" allowOverlap="1" wp14:anchorId="78C327D0" wp14:editId="71143903">
              <wp:simplePos x="635" y="635"/>
              <wp:positionH relativeFrom="page">
                <wp:align>center</wp:align>
              </wp:positionH>
              <wp:positionV relativeFrom="page">
                <wp:align>bottom</wp:align>
              </wp:positionV>
              <wp:extent cx="656590" cy="398145"/>
              <wp:effectExtent l="0" t="0" r="10160" b="0"/>
              <wp:wrapNone/>
              <wp:docPr id="8276760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8145"/>
                      </a:xfrm>
                      <a:prstGeom prst="rect">
                        <a:avLst/>
                      </a:prstGeom>
                      <a:noFill/>
                      <a:ln>
                        <a:noFill/>
                      </a:ln>
                    </wps:spPr>
                    <wps:txbx>
                      <w:txbxContent>
                        <w:p w14:paraId="2E5176EC" w14:textId="064C1368" w:rsidR="0076376A" w:rsidRPr="0076376A" w:rsidRDefault="0076376A" w:rsidP="0076376A">
                          <w:pPr>
                            <w:spacing w:after="0"/>
                            <w:rPr>
                              <w:rFonts w:ascii="Arial Black" w:eastAsia="Arial Black" w:hAnsi="Arial Black" w:cs="Arial Black"/>
                              <w:noProof/>
                              <w:color w:val="000000"/>
                              <w:sz w:val="20"/>
                              <w:szCs w:val="20"/>
                            </w:rPr>
                          </w:pPr>
                          <w:r w:rsidRPr="0076376A">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C327D0" id="_x0000_t202" coordsize="21600,21600" o:spt="202" path="m,l,21600r21600,l21600,xe">
              <v:stroke joinstyle="miter"/>
              <v:path gradientshapeok="t" o:connecttype="rect"/>
            </v:shapetype>
            <v:shape id="Text Box 3" o:spid="_x0000_s1028" type="#_x0000_t202" alt="OFFICIAL" style="position:absolute;margin-left:0;margin-top:0;width:51.7pt;height:31.3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" filled="f" stroked="f">
              <v:textbox style="mso-fit-shape-to-text:t" inset="0,0,0,15pt">
                <w:txbxContent>
                  <w:p w14:paraId="2E5176EC" w14:textId="064C1368" w:rsidR="0076376A" w:rsidRPr="0076376A" w:rsidRDefault="0076376A" w:rsidP="0076376A">
                    <w:pPr>
                      <w:spacing w:after="0"/>
                      <w:rPr>
                        <w:rFonts w:ascii="Arial Black" w:eastAsia="Arial Black" w:hAnsi="Arial Black" w:cs="Arial Black"/>
                        <w:noProof/>
                        <w:color w:val="000000"/>
                        <w:sz w:val="20"/>
                        <w:szCs w:val="20"/>
                      </w:rPr>
                    </w:pPr>
                    <w:r w:rsidRPr="0076376A">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63FC6" w14:textId="77777777" w:rsidR="00246AD3" w:rsidRDefault="00246AD3" w:rsidP="001C3317">
      <w:pPr>
        <w:spacing w:after="0" w:line="240" w:lineRule="auto"/>
      </w:pPr>
      <w:r>
        <w:separator/>
      </w:r>
    </w:p>
  </w:footnote>
  <w:footnote w:type="continuationSeparator" w:id="0">
    <w:p w14:paraId="37E15103" w14:textId="77777777" w:rsidR="00246AD3" w:rsidRDefault="00246AD3" w:rsidP="001C3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ED8B" w14:textId="4A779D1A" w:rsidR="001C3317" w:rsidRPr="001C3317" w:rsidRDefault="001C3317" w:rsidP="001C3317">
    <w:pPr>
      <w:pStyle w:val="Header"/>
      <w:jc w:val="right"/>
      <w:rPr>
        <w:b/>
        <w:bCs/>
      </w:rPr>
    </w:pPr>
    <w:r w:rsidRPr="001C3317">
      <w:rPr>
        <w:b/>
        <w:bCs/>
      </w:rPr>
      <w:t xml:space="preserve"> Information for </w:t>
    </w:r>
    <w:r w:rsidR="001E4F5B" w:rsidRPr="001E4F5B">
      <w:rPr>
        <w:b/>
        <w:bCs/>
      </w:rPr>
      <w:t>schools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67B21"/>
    <w:multiLevelType w:val="hybridMultilevel"/>
    <w:tmpl w:val="C85024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B27859"/>
    <w:multiLevelType w:val="hybridMultilevel"/>
    <w:tmpl w:val="00A86458"/>
    <w:lvl w:ilvl="0" w:tplc="4DA64C4A">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7E0D92"/>
    <w:multiLevelType w:val="hybridMultilevel"/>
    <w:tmpl w:val="A6C8C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8FB4589"/>
    <w:multiLevelType w:val="hybridMultilevel"/>
    <w:tmpl w:val="B5EA6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C17D32"/>
    <w:multiLevelType w:val="hybridMultilevel"/>
    <w:tmpl w:val="6E2E4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17510F"/>
    <w:multiLevelType w:val="hybridMultilevel"/>
    <w:tmpl w:val="C366C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6414824"/>
    <w:multiLevelType w:val="hybridMultilevel"/>
    <w:tmpl w:val="B8C84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35352F"/>
    <w:multiLevelType w:val="hybridMultilevel"/>
    <w:tmpl w:val="2EFAA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DDA0BBE"/>
    <w:multiLevelType w:val="hybridMultilevel"/>
    <w:tmpl w:val="845C6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11578B2"/>
    <w:multiLevelType w:val="hybridMultilevel"/>
    <w:tmpl w:val="A8101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644C9D"/>
    <w:multiLevelType w:val="hybridMultilevel"/>
    <w:tmpl w:val="C8364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3334349">
    <w:abstractNumId w:val="7"/>
  </w:num>
  <w:num w:numId="2" w16cid:durableId="1772508569">
    <w:abstractNumId w:val="1"/>
  </w:num>
  <w:num w:numId="3" w16cid:durableId="1271165532">
    <w:abstractNumId w:val="0"/>
  </w:num>
  <w:num w:numId="4" w16cid:durableId="419913305">
    <w:abstractNumId w:val="5"/>
  </w:num>
  <w:num w:numId="5" w16cid:durableId="2108233643">
    <w:abstractNumId w:val="2"/>
  </w:num>
  <w:num w:numId="6" w16cid:durableId="300041141">
    <w:abstractNumId w:val="3"/>
  </w:num>
  <w:num w:numId="7" w16cid:durableId="1332756989">
    <w:abstractNumId w:val="6"/>
  </w:num>
  <w:num w:numId="8" w16cid:durableId="570888726">
    <w:abstractNumId w:val="10"/>
  </w:num>
  <w:num w:numId="9" w16cid:durableId="882866916">
    <w:abstractNumId w:val="4"/>
  </w:num>
  <w:num w:numId="10" w16cid:durableId="1602688253">
    <w:abstractNumId w:val="9"/>
  </w:num>
  <w:num w:numId="11" w16cid:durableId="13664419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317"/>
    <w:rsid w:val="000244EB"/>
    <w:rsid w:val="00037286"/>
    <w:rsid w:val="000B776F"/>
    <w:rsid w:val="000D5EA5"/>
    <w:rsid w:val="000D6B8B"/>
    <w:rsid w:val="000F034E"/>
    <w:rsid w:val="00107D19"/>
    <w:rsid w:val="00157B00"/>
    <w:rsid w:val="00197C08"/>
    <w:rsid w:val="001C15E3"/>
    <w:rsid w:val="001C3317"/>
    <w:rsid w:val="001E4F5B"/>
    <w:rsid w:val="00211850"/>
    <w:rsid w:val="00246AD3"/>
    <w:rsid w:val="0026507C"/>
    <w:rsid w:val="002D6431"/>
    <w:rsid w:val="002E24B5"/>
    <w:rsid w:val="002F26E0"/>
    <w:rsid w:val="003704CF"/>
    <w:rsid w:val="00391DA1"/>
    <w:rsid w:val="003D6880"/>
    <w:rsid w:val="003E6429"/>
    <w:rsid w:val="003F7DA8"/>
    <w:rsid w:val="00461822"/>
    <w:rsid w:val="00477B16"/>
    <w:rsid w:val="004A7D05"/>
    <w:rsid w:val="004B1768"/>
    <w:rsid w:val="004F72CB"/>
    <w:rsid w:val="005014F0"/>
    <w:rsid w:val="00567629"/>
    <w:rsid w:val="005A0392"/>
    <w:rsid w:val="00607CDD"/>
    <w:rsid w:val="00650338"/>
    <w:rsid w:val="00673797"/>
    <w:rsid w:val="006F1FDA"/>
    <w:rsid w:val="00716DCE"/>
    <w:rsid w:val="0072450E"/>
    <w:rsid w:val="00731A0F"/>
    <w:rsid w:val="00745075"/>
    <w:rsid w:val="0076376A"/>
    <w:rsid w:val="007C0693"/>
    <w:rsid w:val="007D605B"/>
    <w:rsid w:val="008467A6"/>
    <w:rsid w:val="00880E57"/>
    <w:rsid w:val="00896451"/>
    <w:rsid w:val="008B0ACD"/>
    <w:rsid w:val="009203C6"/>
    <w:rsid w:val="00936818"/>
    <w:rsid w:val="00963765"/>
    <w:rsid w:val="00990865"/>
    <w:rsid w:val="009920A4"/>
    <w:rsid w:val="00995234"/>
    <w:rsid w:val="009B4064"/>
    <w:rsid w:val="009F7863"/>
    <w:rsid w:val="00A540A5"/>
    <w:rsid w:val="00A60AF1"/>
    <w:rsid w:val="00A82E8F"/>
    <w:rsid w:val="00BD73CB"/>
    <w:rsid w:val="00C67DB7"/>
    <w:rsid w:val="00C75403"/>
    <w:rsid w:val="00C94ABB"/>
    <w:rsid w:val="00D12DEE"/>
    <w:rsid w:val="00D32BB1"/>
    <w:rsid w:val="00D72DB7"/>
    <w:rsid w:val="00D83FAD"/>
    <w:rsid w:val="00DD7ACA"/>
    <w:rsid w:val="00DD7B27"/>
    <w:rsid w:val="00DE364B"/>
    <w:rsid w:val="00E20A9A"/>
    <w:rsid w:val="00ED4FA3"/>
    <w:rsid w:val="00F052E1"/>
    <w:rsid w:val="00F056D6"/>
    <w:rsid w:val="00FF03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51CCA"/>
  <w15:chartTrackingRefBased/>
  <w15:docId w15:val="{122EBF69-0EBC-4CFE-869B-161326BF3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33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C33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C33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33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33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33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3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3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3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3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C33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C33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33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33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33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3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3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317"/>
    <w:rPr>
      <w:rFonts w:eastAsiaTheme="majorEastAsia" w:cstheme="majorBidi"/>
      <w:color w:val="272727" w:themeColor="text1" w:themeTint="D8"/>
    </w:rPr>
  </w:style>
  <w:style w:type="paragraph" w:styleId="Title">
    <w:name w:val="Title"/>
    <w:basedOn w:val="Normal"/>
    <w:next w:val="Normal"/>
    <w:link w:val="TitleChar"/>
    <w:uiPriority w:val="10"/>
    <w:qFormat/>
    <w:rsid w:val="001C33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3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3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3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317"/>
    <w:pPr>
      <w:spacing w:before="160"/>
      <w:jc w:val="center"/>
    </w:pPr>
    <w:rPr>
      <w:i/>
      <w:iCs/>
      <w:color w:val="404040" w:themeColor="text1" w:themeTint="BF"/>
    </w:rPr>
  </w:style>
  <w:style w:type="character" w:customStyle="1" w:styleId="QuoteChar">
    <w:name w:val="Quote Char"/>
    <w:basedOn w:val="DefaultParagraphFont"/>
    <w:link w:val="Quote"/>
    <w:uiPriority w:val="29"/>
    <w:rsid w:val="001C3317"/>
    <w:rPr>
      <w:i/>
      <w:iCs/>
      <w:color w:val="404040" w:themeColor="text1" w:themeTint="BF"/>
    </w:rPr>
  </w:style>
  <w:style w:type="paragraph" w:styleId="ListParagraph">
    <w:name w:val="List Paragraph"/>
    <w:basedOn w:val="Normal"/>
    <w:uiPriority w:val="34"/>
    <w:qFormat/>
    <w:rsid w:val="001C3317"/>
    <w:pPr>
      <w:ind w:left="720"/>
      <w:contextualSpacing/>
    </w:pPr>
  </w:style>
  <w:style w:type="character" w:styleId="IntenseEmphasis">
    <w:name w:val="Intense Emphasis"/>
    <w:basedOn w:val="DefaultParagraphFont"/>
    <w:uiPriority w:val="21"/>
    <w:qFormat/>
    <w:rsid w:val="001C3317"/>
    <w:rPr>
      <w:i/>
      <w:iCs/>
      <w:color w:val="0F4761" w:themeColor="accent1" w:themeShade="BF"/>
    </w:rPr>
  </w:style>
  <w:style w:type="paragraph" w:styleId="IntenseQuote">
    <w:name w:val="Intense Quote"/>
    <w:basedOn w:val="Normal"/>
    <w:next w:val="Normal"/>
    <w:link w:val="IntenseQuoteChar"/>
    <w:uiPriority w:val="30"/>
    <w:qFormat/>
    <w:rsid w:val="001C33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3317"/>
    <w:rPr>
      <w:i/>
      <w:iCs/>
      <w:color w:val="0F4761" w:themeColor="accent1" w:themeShade="BF"/>
    </w:rPr>
  </w:style>
  <w:style w:type="character" w:styleId="IntenseReference">
    <w:name w:val="Intense Reference"/>
    <w:basedOn w:val="DefaultParagraphFont"/>
    <w:uiPriority w:val="32"/>
    <w:qFormat/>
    <w:rsid w:val="001C3317"/>
    <w:rPr>
      <w:b/>
      <w:bCs/>
      <w:smallCaps/>
      <w:color w:val="0F4761" w:themeColor="accent1" w:themeShade="BF"/>
      <w:spacing w:val="5"/>
    </w:rPr>
  </w:style>
  <w:style w:type="paragraph" w:styleId="Header">
    <w:name w:val="header"/>
    <w:basedOn w:val="Normal"/>
    <w:link w:val="HeaderChar"/>
    <w:uiPriority w:val="99"/>
    <w:unhideWhenUsed/>
    <w:rsid w:val="001C33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317"/>
  </w:style>
  <w:style w:type="paragraph" w:styleId="Footer">
    <w:name w:val="footer"/>
    <w:basedOn w:val="Normal"/>
    <w:link w:val="FooterChar"/>
    <w:uiPriority w:val="99"/>
    <w:unhideWhenUsed/>
    <w:rsid w:val="001C3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317"/>
  </w:style>
  <w:style w:type="character" w:styleId="Hyperlink">
    <w:name w:val="Hyperlink"/>
    <w:basedOn w:val="DefaultParagraphFont"/>
    <w:uiPriority w:val="99"/>
    <w:unhideWhenUsed/>
    <w:rsid w:val="00BD73CB"/>
    <w:rPr>
      <w:color w:val="467886" w:themeColor="hyperlink"/>
      <w:u w:val="single"/>
    </w:rPr>
  </w:style>
  <w:style w:type="character" w:styleId="UnresolvedMention">
    <w:name w:val="Unresolved Mention"/>
    <w:basedOn w:val="DefaultParagraphFont"/>
    <w:uiPriority w:val="99"/>
    <w:semiHidden/>
    <w:unhideWhenUsed/>
    <w:rsid w:val="00BD73CB"/>
    <w:rPr>
      <w:color w:val="605E5C"/>
      <w:shd w:val="clear" w:color="auto" w:fill="E1DFDD"/>
    </w:rPr>
  </w:style>
  <w:style w:type="paragraph" w:customStyle="1" w:styleId="Body">
    <w:name w:val="Body"/>
    <w:basedOn w:val="Normal"/>
    <w:uiPriority w:val="99"/>
    <w:rsid w:val="00197C08"/>
    <w:pPr>
      <w:suppressAutoHyphens/>
      <w:autoSpaceDE w:val="0"/>
      <w:autoSpaceDN w:val="0"/>
      <w:adjustRightInd w:val="0"/>
      <w:spacing w:after="113" w:line="240" w:lineRule="atLeast"/>
      <w:textAlignment w:val="center"/>
    </w:pPr>
    <w:rPr>
      <w:rFonts w:ascii="Gotham Book" w:hAnsi="Gotham Book" w:cs="Gotham Book"/>
      <w:color w:val="000000"/>
      <w:spacing w:val="-1"/>
      <w:kern w:val="0"/>
      <w:sz w:val="18"/>
      <w:szCs w:val="18"/>
      <w:lang w:val="en-GB"/>
    </w:rPr>
  </w:style>
  <w:style w:type="paragraph" w:styleId="NoSpacing">
    <w:name w:val="No Spacing"/>
    <w:uiPriority w:val="1"/>
    <w:qFormat/>
    <w:rsid w:val="003704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0B41D49AF62A14FBE99B3421A7CCA96" ma:contentTypeVersion="30" ma:contentTypeDescription="Create a new document." ma:contentTypeScope="" ma:versionID="559ab3d30c309ee109bc07d7628ddc03">
  <xsd:schema xmlns:xsd="http://www.w3.org/2001/XMLSchema" xmlns:xs="http://www.w3.org/2001/XMLSchema" xmlns:p="http://schemas.microsoft.com/office/2006/metadata/properties" xmlns:ns1="http://schemas.microsoft.com/sharepoint/v3" xmlns:ns3="701d6015-ed96-4555-9703-e8af0ebc407f" xmlns:ns4="01cb76ad-a7f6-4e5c-88bc-7e5ceb9824e8" targetNamespace="http://schemas.microsoft.com/office/2006/metadata/properties" ma:root="true" ma:fieldsID="ece084121f6b31e47f833d8fecd3a8ac" ns1:_="" ns3:_="" ns4:_="">
    <xsd:import namespace="http://schemas.microsoft.com/sharepoint/v3"/>
    <xsd:import namespace="701d6015-ed96-4555-9703-e8af0ebc407f"/>
    <xsd:import namespace="01cb76ad-a7f6-4e5c-88bc-7e5ceb9824e8"/>
    <xsd:element name="properties">
      <xsd:complexType>
        <xsd:sequence>
          <xsd:element name="documentManagement">
            <xsd:complexType>
              <xsd:all>
                <xsd:element ref="ns3:Date_x0020_on_x0020_Document"/>
                <xsd:element ref="ns3:Document_x0020_Types" minOccurs="0"/>
                <xsd:element ref="ns4:TaxKeywordTaxHTField" minOccurs="0"/>
                <xsd:element ref="ns4:TaxCatchAll" minOccurs="0"/>
                <xsd:element ref="ns3:RetentionMarketing" minOccurs="0"/>
                <xsd:element ref="ns1:_ExtendedDescription" minOccurs="0"/>
                <xsd:element ref="ns3:Tags"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4:_dlc_DocId" minOccurs="0"/>
                <xsd:element ref="ns4:_dlc_DocIdUrl" minOccurs="0"/>
                <xsd:element ref="ns4:_dlc_DocIdPersistI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5" nillable="true" ma:displayName="Description" ma:internalName="_Extended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1d6015-ed96-4555-9703-e8af0ebc407f" elementFormDefault="qualified">
    <xsd:import namespace="http://schemas.microsoft.com/office/2006/documentManagement/types"/>
    <xsd:import namespace="http://schemas.microsoft.com/office/infopath/2007/PartnerControls"/>
    <xsd:element name="Date_x0020_on_x0020_Document" ma:index="9" ma:displayName="Date on Document" ma:default="[today]" ma:description="Date on/of the Document. Not necessarily the Date Created." ma:format="DateOnly" ma:internalName="Date_x0020_on_x0020_Document" ma:readOnly="false">
      <xsd:simpleType>
        <xsd:restriction base="dms:DateTime"/>
      </xsd:simpleType>
    </xsd:element>
    <xsd:element name="Document_x0020_Types" ma:index="10" nillable="true" ma:displayName="Document Types" ma:description="Different document types commonly used." ma:internalName="Document_x0020_Types" ma:readOnly="false">
      <xsd:complexType>
        <xsd:complexContent>
          <xsd:extension base="dms:MultiChoice">
            <xsd:sequence>
              <xsd:element name="Value" maxOccurs="unbounded" minOccurs="0" nillable="true">
                <xsd:simpleType>
                  <xsd:restriction base="dms:Choice">
                    <xsd:enumeration value="Agenda"/>
                    <xsd:enumeration value="Application"/>
                    <xsd:enumeration value="Approval"/>
                    <xsd:enumeration value="Brief"/>
                    <xsd:enumeration value="Contract"/>
                    <xsd:enumeration value="Directive"/>
                    <xsd:enumeration value="Discussion Paper"/>
                    <xsd:enumeration value="Email"/>
                    <xsd:enumeration value="Estimate"/>
                    <xsd:enumeration value="Evaluation"/>
                    <xsd:enumeration value="Fact Sheet"/>
                    <xsd:enumeration value="File Note"/>
                    <xsd:enumeration value="Instructions"/>
                    <xsd:enumeration value="Invoice"/>
                    <xsd:enumeration value="Link"/>
                    <xsd:enumeration value="Media Release"/>
                    <xsd:enumeration value="Memo"/>
                    <xsd:enumeration value="Minutes"/>
                    <xsd:enumeration value="Notification"/>
                    <xsd:enumeration value="Paper"/>
                    <xsd:enumeration value="Personnel"/>
                    <xsd:enumeration value="Plan - Building"/>
                    <xsd:enumeration value="Plan - Project"/>
                    <xsd:enumeration value="Policy"/>
                    <xsd:enumeration value="Presentation"/>
                    <xsd:enumeration value="Procurement"/>
                    <xsd:enumeration value="Purchase Order"/>
                    <xsd:enumeration value="Quote"/>
                    <xsd:enumeration value="Receipt"/>
                    <xsd:enumeration value="Recruitment"/>
                    <xsd:enumeration value="Report - Draft"/>
                    <xsd:enumeration value="Report - Final"/>
                    <xsd:enumeration value="Review"/>
                    <xsd:enumeration value="Review - Peer"/>
                    <xsd:enumeration value="RFQ"/>
                    <xsd:enumeration value="RFT"/>
                    <xsd:enumeration value="Template"/>
                  </xsd:restriction>
                </xsd:simpleType>
              </xsd:element>
            </xsd:sequence>
          </xsd:extension>
        </xsd:complexContent>
      </xsd:complexType>
    </xsd:element>
    <xsd:element name="RetentionMarketing" ma:index="14" nillable="true" ma:displayName="Retention Marketing" ma:description="Retention classes for records relating to marketing activities" ma:format="Dropdown" ma:internalName="RetentionMarketing" ma:readOnly="false">
      <xsd:simpleType>
        <xsd:restriction base="dms:Choice">
          <xsd:enumeration value="02.05.01 2 yrs"/>
          <xsd:enumeration value="02.07.01 7 yrs"/>
          <xsd:enumeration value="02.07.02 Perm"/>
          <xsd:enumeration value="02.07.03 5 yrs"/>
          <xsd:enumeration value="02.07.04 2 yrs"/>
          <xsd:enumeration value="02.12.01 Admin"/>
          <xsd:enumeration value="02.14.02 7 yrs"/>
          <xsd:enumeration value="15.04.02 Sup"/>
        </xsd:restriction>
      </xsd:simpleType>
    </xsd:element>
    <xsd:element name="Tags" ma:index="16" nillable="true" ma:displayName="Tags" ma:internalName="Tags0" ma:readOnly="false">
      <xsd:simpleType>
        <xsd:restriction base="dms:Text">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cb76ad-a7f6-4e5c-88bc-7e5ceb9824e8"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readOnly="false" ma:fieldId="{23f27201-bee3-471e-b2e7-b64fd8b7ca38}" ma:taxonomyMulti="true" ma:sspId="6e24e156-28e6-48ad-9c0f-4171595c9d94"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hidden="true" ma:list="{6d3b78cf-5206-42f6-85dd-1805f505c524}" ma:internalName="TaxCatchAll" ma:showField="CatchAllData" ma:web="01cb76ad-a7f6-4e5c-88bc-7e5ceb9824e8">
      <xsd:complexType>
        <xsd:complexContent>
          <xsd:extension base="dms:MultiChoiceLookup">
            <xsd:sequence>
              <xsd:element name="Value" type="dms:Lookup" maxOccurs="unbounded" minOccurs="0" nillable="true"/>
            </xsd:sequence>
          </xsd:extension>
        </xsd:complexContent>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1d6015-ed96-4555-9703-e8af0ebc407f">
      <Terms xmlns="http://schemas.microsoft.com/office/infopath/2007/PartnerControls"/>
    </lcf76f155ced4ddcb4097134ff3c332f>
    <Tags xmlns="701d6015-ed96-4555-9703-e8af0ebc407f" xsi:nil="true"/>
    <Date_x0020_on_x0020_Document xmlns="701d6015-ed96-4555-9703-e8af0ebc407f">2026-02-16T04:09:30+00:00</Date_x0020_on_x0020_Document>
    <_ExtendedDescription xmlns="http://schemas.microsoft.com/sharepoint/v3" xsi:nil="true"/>
    <Document_x0020_Types xmlns="701d6015-ed96-4555-9703-e8af0ebc407f" xsi:nil="true"/>
    <RetentionMarketing xmlns="701d6015-ed96-4555-9703-e8af0ebc407f" xsi:nil="true"/>
    <TaxKeywordTaxHTField xmlns="01cb76ad-a7f6-4e5c-88bc-7e5ceb9824e8">
      <Terms xmlns="http://schemas.microsoft.com/office/infopath/2007/PartnerControls"/>
    </TaxKeywordTaxHTField>
    <TaxCatchAll xmlns="01cb76ad-a7f6-4e5c-88bc-7e5ceb9824e8" xsi:nil="true"/>
    <_dlc_DocId xmlns="01cb76ad-a7f6-4e5c-88bc-7e5ceb9824e8">EDRMS-1867357470-25576</_dlc_DocId>
    <_dlc_DocIdUrl xmlns="01cb76ad-a7f6-4e5c-88bc-7e5ceb9824e8">
      <Url>https://dhhsvicgovau.sharepoint.com/sites/GHPR-Programs-GRP/_layouts/15/DocIdRedir.aspx?ID=EDRMS-1867357470-25576</Url>
      <Description>EDRMS-1867357470-25576</Description>
    </_dlc_DocIdUrl>
  </documentManagement>
</p:properties>
</file>

<file path=customXml/itemProps1.xml><?xml version="1.0" encoding="utf-8"?>
<ds:datastoreItem xmlns:ds="http://schemas.openxmlformats.org/officeDocument/2006/customXml" ds:itemID="{E5F23C6E-B4D9-41AD-B007-D6B45BD987EC}">
  <ds:schemaRefs>
    <ds:schemaRef ds:uri="http://schemas.microsoft.com/sharepoint/v3/contenttype/forms"/>
  </ds:schemaRefs>
</ds:datastoreItem>
</file>

<file path=customXml/itemProps2.xml><?xml version="1.0" encoding="utf-8"?>
<ds:datastoreItem xmlns:ds="http://schemas.openxmlformats.org/officeDocument/2006/customXml" ds:itemID="{05F60D1A-EF62-4F2D-998E-1B8E2A9586E9}">
  <ds:schemaRefs>
    <ds:schemaRef ds:uri="http://schemas.microsoft.com/sharepoint/events"/>
  </ds:schemaRefs>
</ds:datastoreItem>
</file>

<file path=customXml/itemProps3.xml><?xml version="1.0" encoding="utf-8"?>
<ds:datastoreItem xmlns:ds="http://schemas.openxmlformats.org/officeDocument/2006/customXml" ds:itemID="{0081880A-6C9C-48A2-A8E2-02A9EAE47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1d6015-ed96-4555-9703-e8af0ebc407f"/>
    <ds:schemaRef ds:uri="01cb76ad-a7f6-4e5c-88bc-7e5ceb9824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86740C-BE36-4F2B-981F-41009CA5BC84}">
  <ds:schemaRefs>
    <ds:schemaRef ds:uri="http://schemas.microsoft.com/office/2006/metadata/properties"/>
    <ds:schemaRef ds:uri="http://schemas.microsoft.com/office/infopath/2007/PartnerControls"/>
    <ds:schemaRef ds:uri="701d6015-ed96-4555-9703-e8af0ebc407f"/>
    <ds:schemaRef ds:uri="http://schemas.microsoft.com/sharepoint/v3"/>
    <ds:schemaRef ds:uri="01cb76ad-a7f6-4e5c-88bc-7e5ceb9824e8"/>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537</Words>
  <Characters>2896</Characters>
  <Application>Microsoft Office Word</Application>
  <DocSecurity>0</DocSecurity>
  <Lines>90</Lines>
  <Paragraphs>38</Paragraphs>
  <ScaleCrop>false</ScaleCrop>
  <HeadingPairs>
    <vt:vector size="4" baseType="variant">
      <vt:variant>
        <vt:lpstr>Title</vt:lpstr>
      </vt:variant>
      <vt:variant>
        <vt:i4>1</vt:i4>
      </vt:variant>
      <vt:variant>
        <vt:lpstr>Headings</vt:lpstr>
      </vt:variant>
      <vt:variant>
        <vt:i4>30</vt:i4>
      </vt:variant>
    </vt:vector>
  </HeadingPairs>
  <TitlesOfParts>
    <vt:vector size="31" baseType="lpstr">
      <vt:lpstr/>
      <vt:lpstr>Introduction</vt:lpstr>
      <vt:lpstr>    Empowering young people to understand gambling risks </vt:lpstr>
      <vt:lpstr>Victorian Certificate of Education (VCE) Vocational Major (VM)</vt:lpstr>
      <vt:lpstr>    VCE VM Literacy</vt:lpstr>
      <vt:lpstr>        Love the Game (Unit 1)</vt:lpstr>
      <vt:lpstr>        Potential influences (Unit 3)</vt:lpstr>
      <vt:lpstr>    VCE VM Personal Development Skills </vt:lpstr>
      <vt:lpstr>        Knowing the score (Unit 2)</vt:lpstr>
      <vt:lpstr>        Knowing when it’s a concern (Unit 4)</vt:lpstr>
      <vt:lpstr>    VCE VM Numeracy </vt:lpstr>
      <vt:lpstr>        Finances and gambling (Unit 1): </vt:lpstr>
      <vt:lpstr>        What are the chances? (Unit 2)</vt:lpstr>
      <vt:lpstr>        Earnings and expenditure (Unit 3)</vt:lpstr>
      <vt:lpstr>        Odds and probability (Unit 4)</vt:lpstr>
      <vt:lpstr>VCE </vt:lpstr>
      <vt:lpstr>    VCE Health and Human Development (Unit 1) </vt:lpstr>
      <vt:lpstr>        ‘GAME ON.’ Gambling – a youth health issue</vt:lpstr>
      <vt:lpstr>    VCE Media studies (Units 1 and 2) </vt:lpstr>
      <vt:lpstr>        Representations of gambling in advertising</vt:lpstr>
      <vt:lpstr>        Explores gambling advertising. Students discuss the values represented in bettin</vt:lpstr>
      <vt:lpstr>Years 7 to 10 </vt:lpstr>
      <vt:lpstr>    Health and Physical Education (Years 7–10) </vt:lpstr>
      <vt:lpstr>        Lessons that help students learn about the risks and realities of gambling and g</vt:lpstr>
      <vt:lpstr>    Humanities (Year 10) </vt:lpstr>
      <vt:lpstr>        The role of regulation</vt:lpstr>
      <vt:lpstr>        Highlights the risks of gambling and how regulation helps to protect individuals</vt:lpstr>
      <vt:lpstr>        Risky business</vt:lpstr>
      <vt:lpstr>        Helps students understand the financial risks associated with gambling and how r</vt:lpstr>
      <vt:lpstr>Years 5 and 6 </vt:lpstr>
      <vt:lpstr>    The Bridge</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Hince (Health)</dc:creator>
  <cp:keywords/>
  <dc:description/>
  <cp:lastModifiedBy>Andrea Hince (Health)</cp:lastModifiedBy>
  <cp:revision>27</cp:revision>
  <dcterms:created xsi:type="dcterms:W3CDTF">2026-02-16T22:26:00Z</dcterms:created>
  <dcterms:modified xsi:type="dcterms:W3CDTF">2026-02-18T21:37:00Z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4eeeef5,4886432a,a65d3f7</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2026-01-26T00:00:31Z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e40d0c3f-7cee-4f77-abad-6022d57c4a1e</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y fmtid="{D5CDD505-2E9C-101B-9397-08002B2CF9AE}" pid="13" name="ContentTypeId">
    <vt:lpwstr>0x01010040B41D49AF62A14FBE99B3421A7CCA96</vt:lpwstr>
  </property>
  <property fmtid="{D5CDD505-2E9C-101B-9397-08002B2CF9AE}" pid="14" name="docLang">
    <vt:lpwstr>en</vt:lpwstr>
  </property>
  <property fmtid="{D5CDD505-2E9C-101B-9397-08002B2CF9AE}" pid="15" name="MediaServiceImageTags">
    <vt:lpwstr/>
  </property>
  <property fmtid="{D5CDD505-2E9C-101B-9397-08002B2CF9AE}" pid="16" name="_dlc_DocIdItemGuid">
    <vt:lpwstr>ab476a70-40be-4755-b61d-04bcb7cf8b6e</vt:lpwstr>
  </property>
  <property fmtid="{D5CDD505-2E9C-101B-9397-08002B2CF9AE}" pid="17" name="TaxKeyword">
    <vt:lpwstr/>
  </property>
</Properties>
</file>