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5AF29" w14:textId="1B2789A3" w:rsidR="003E6429" w:rsidRDefault="001C3317">
      <w:r>
        <w:rPr>
          <w:noProof/>
        </w:rPr>
        <w:drawing>
          <wp:inline distT="0" distB="0" distL="0" distR="0" wp14:anchorId="3CD3EBD1" wp14:editId="73187C2D">
            <wp:extent cx="2762250" cy="703398"/>
            <wp:effectExtent l="0" t="0" r="0" b="1905"/>
            <wp:docPr id="1601890906" name="Picture 2" descr="Be Ahead of the Game logo and Victoria State Government logo in g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90906" name="Picture 2" descr="Be Ahead of the Game logo and Victoria State Government logo in green.">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67" t="22868" r="167" b="24031"/>
                    <a:stretch>
                      <a:fillRect/>
                    </a:stretch>
                  </pic:blipFill>
                  <pic:spPr bwMode="auto">
                    <a:xfrm>
                      <a:off x="0" y="0"/>
                      <a:ext cx="2784200" cy="708988"/>
                    </a:xfrm>
                    <a:prstGeom prst="rect">
                      <a:avLst/>
                    </a:prstGeom>
                    <a:noFill/>
                    <a:ln>
                      <a:noFill/>
                    </a:ln>
                    <a:extLst>
                      <a:ext uri="{53640926-AAD7-44D8-BBD7-CCE9431645EC}">
                        <a14:shadowObscured xmlns:a14="http://schemas.microsoft.com/office/drawing/2010/main"/>
                      </a:ext>
                    </a:extLst>
                  </pic:spPr>
                </pic:pic>
              </a:graphicData>
            </a:graphic>
          </wp:inline>
        </w:drawing>
      </w:r>
    </w:p>
    <w:p w14:paraId="3E125424" w14:textId="59A76C73" w:rsidR="001C3317" w:rsidRDefault="00BD3C56" w:rsidP="00936818">
      <w:pPr>
        <w:pStyle w:val="Title"/>
      </w:pPr>
      <w:r>
        <w:t>Information for parents and carers</w:t>
      </w:r>
    </w:p>
    <w:p w14:paraId="632B9A2D" w14:textId="42306A60" w:rsidR="006D42CE" w:rsidRDefault="00BD3C56" w:rsidP="007A4AD3">
      <w:pPr>
        <w:pStyle w:val="Heading1"/>
        <w:spacing w:before="120"/>
      </w:pPr>
      <w:r>
        <w:rPr>
          <w:noProof/>
        </w:rPr>
        <w:drawing>
          <wp:inline distT="0" distB="0" distL="0" distR="0" wp14:anchorId="58F5D6CD" wp14:editId="5BA36E3D">
            <wp:extent cx="5731510" cy="2149475"/>
            <wp:effectExtent l="0" t="0" r="2540" b="3175"/>
            <wp:docPr id="582156591" name="Picture 2" descr="A young boy and his dad sitting outdoors looking at an iPa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56591" name="Picture 2" descr="A young boy and his dad sitting outdoors looking at an iPad togeth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215357E9" w14:textId="77777777" w:rsidR="00BD3C56" w:rsidRPr="00BD3C56" w:rsidRDefault="00BD3C56" w:rsidP="00BD3C56">
      <w:pPr>
        <w:pStyle w:val="Heading1"/>
      </w:pPr>
      <w:r w:rsidRPr="00BD3C56">
        <w:t>Parents and carers play a key role</w:t>
      </w:r>
    </w:p>
    <w:p w14:paraId="15603F58" w14:textId="77777777" w:rsidR="00BD3C56" w:rsidRPr="00BD3C56" w:rsidRDefault="00BD3C56" w:rsidP="00BD3C56">
      <w:r w:rsidRPr="00BD3C56">
        <w:t>Young peoples’ attitudes towards betting start developing at an early age. That's why it's important for parents and carers to understand what they can do to help kids think critically about gambling and reduce their risk of experiencing gambling harm now and into adulthood.</w:t>
      </w:r>
    </w:p>
    <w:p w14:paraId="22829E24" w14:textId="77777777" w:rsidR="00BD3C56" w:rsidRPr="00BD3C56" w:rsidRDefault="00BD3C56" w:rsidP="00BD3C56">
      <w:pPr>
        <w:pStyle w:val="Heading1"/>
      </w:pPr>
      <w:r w:rsidRPr="00BD3C56">
        <w:t>Why your words and actions matter</w:t>
      </w:r>
    </w:p>
    <w:p w14:paraId="07F9920A" w14:textId="32B6FF80" w:rsidR="00BD3C56" w:rsidRPr="00BD3C56" w:rsidRDefault="00BD3C56" w:rsidP="00BD3C56">
      <w:r w:rsidRPr="00BD3C56">
        <w:t>Research tells us that young people are greatly influenced by the gambling attitudes and beliefs of family members. In fact, young people who live with a parent who gambles are 1.5 times more likely to gamble than those who live in a household where no parent gambles.</w:t>
      </w:r>
      <w:r>
        <w:rPr>
          <w:rStyle w:val="EndnoteReference"/>
        </w:rPr>
        <w:endnoteReference w:id="1"/>
      </w:r>
    </w:p>
    <w:p w14:paraId="0C643DA3" w14:textId="77777777" w:rsidR="00BD3C56" w:rsidRPr="00BD3C56" w:rsidRDefault="00BD3C56" w:rsidP="00BD3C56">
      <w:r w:rsidRPr="00BD3C56">
        <w:t>It's important to talk to your kids about how gambling really works and help kids understand that gambling comes with risks and negative consequences.</w:t>
      </w:r>
    </w:p>
    <w:p w14:paraId="290A7E91" w14:textId="77777777" w:rsidR="00BD3C56" w:rsidRPr="00BD3C56" w:rsidRDefault="00BD3C56" w:rsidP="00BD3C56">
      <w:pPr>
        <w:pStyle w:val="Heading1"/>
      </w:pPr>
      <w:r w:rsidRPr="00BD3C56">
        <w:t>Think before you gamble around them</w:t>
      </w:r>
    </w:p>
    <w:p w14:paraId="12A65A25" w14:textId="77777777" w:rsidR="00BD3C56" w:rsidRDefault="00BD3C56" w:rsidP="00BD3C56">
      <w:r w:rsidRPr="00BD3C56">
        <w:t>Even if you don’t realise it, your gambling behaviour sends a powerful message to your kids. Just by being aware of how your gambling behaviour influences your children, you can help prevent them from developing unhealthy habits in the future.</w:t>
      </w:r>
    </w:p>
    <w:p w14:paraId="34504862" w14:textId="77777777" w:rsidR="00BD3C56" w:rsidRPr="00BD3C56" w:rsidRDefault="00BD3C56" w:rsidP="00BD3C56"/>
    <w:p w14:paraId="12DCEC46" w14:textId="77777777" w:rsidR="00BD3C56" w:rsidRPr="00BD3C56" w:rsidRDefault="00BD3C56" w:rsidP="00BD3C56">
      <w:pPr>
        <w:pStyle w:val="Heading2"/>
      </w:pPr>
      <w:r w:rsidRPr="00BD3C56">
        <w:lastRenderedPageBreak/>
        <w:t>Follow these tips:</w:t>
      </w:r>
    </w:p>
    <w:p w14:paraId="40610110" w14:textId="77777777" w:rsidR="00BD3C56" w:rsidRPr="00BD3C56" w:rsidRDefault="00BD3C56" w:rsidP="00BD3C56">
      <w:pPr>
        <w:pStyle w:val="ListParagraph"/>
        <w:numPr>
          <w:ilvl w:val="0"/>
          <w:numId w:val="11"/>
        </w:numPr>
      </w:pPr>
      <w:r w:rsidRPr="00BD3C56">
        <w:rPr>
          <w:b/>
          <w:bCs/>
        </w:rPr>
        <w:t>Think before you gamble around your kids.</w:t>
      </w:r>
      <w:r w:rsidRPr="00BD3C56">
        <w:t> If you gamble, avoid exposing children to it.</w:t>
      </w:r>
    </w:p>
    <w:p w14:paraId="64728F2A" w14:textId="77777777" w:rsidR="00BD3C56" w:rsidRPr="00BD3C56" w:rsidRDefault="00BD3C56" w:rsidP="00BD3C56">
      <w:pPr>
        <w:pStyle w:val="ListParagraph"/>
        <w:numPr>
          <w:ilvl w:val="0"/>
          <w:numId w:val="11"/>
        </w:numPr>
      </w:pPr>
      <w:r w:rsidRPr="00BD3C56">
        <w:rPr>
          <w:b/>
          <w:bCs/>
        </w:rPr>
        <w:t>Don’t</w:t>
      </w:r>
      <w:r w:rsidRPr="00BD3C56">
        <w:t> </w:t>
      </w:r>
      <w:r w:rsidRPr="00BD3C56">
        <w:rPr>
          <w:b/>
          <w:bCs/>
        </w:rPr>
        <w:t>facilitate gambling.</w:t>
      </w:r>
      <w:r w:rsidRPr="00BD3C56">
        <w:t> Avoid giving scratchies or lottery tickets as gifts, placing bets on their behalf, getting their help to pick ‘lucky numbers’, or letting them access your online betting accounts.</w:t>
      </w:r>
    </w:p>
    <w:p w14:paraId="19EB1B9F" w14:textId="77777777" w:rsidR="00BD3C56" w:rsidRPr="00BD3C56" w:rsidRDefault="00BD3C56" w:rsidP="00BD3C56">
      <w:pPr>
        <w:pStyle w:val="ListParagraph"/>
        <w:numPr>
          <w:ilvl w:val="0"/>
          <w:numId w:val="11"/>
        </w:numPr>
      </w:pPr>
      <w:r w:rsidRPr="00BD3C56">
        <w:rPr>
          <w:b/>
          <w:bCs/>
        </w:rPr>
        <w:t>Talk to your kids about how gambling really works.</w:t>
      </w:r>
      <w:r w:rsidRPr="00BD3C56">
        <w:t> Help kids understand that gambling comes with risks and they are more likely to lose money than get rich. </w:t>
      </w:r>
      <w:hyperlink r:id="rId13" w:history="1">
        <w:r w:rsidRPr="00BD3C56">
          <w:rPr>
            <w:rStyle w:val="Hyperlink"/>
          </w:rPr>
          <w:t>Learn more about gambling myths.</w:t>
        </w:r>
      </w:hyperlink>
    </w:p>
    <w:p w14:paraId="6B8F62AC" w14:textId="77777777" w:rsidR="00BD3C56" w:rsidRPr="00BD3C56" w:rsidRDefault="00BD3C56" w:rsidP="00BD3C56">
      <w:pPr>
        <w:pStyle w:val="ListParagraph"/>
        <w:numPr>
          <w:ilvl w:val="0"/>
          <w:numId w:val="11"/>
        </w:numPr>
      </w:pPr>
      <w:r w:rsidRPr="00BD3C56">
        <w:rPr>
          <w:b/>
          <w:bCs/>
        </w:rPr>
        <w:t>Model healthy behaviours.</w:t>
      </w:r>
      <w:r w:rsidRPr="00BD3C56">
        <w:t> Engage in activities that provide entertainment and excitement without the risks of gambling. Show kids that sport can be enjoyed without betting.</w:t>
      </w:r>
    </w:p>
    <w:p w14:paraId="76C95E5C" w14:textId="77777777" w:rsidR="00BD3C56" w:rsidRPr="00BD3C56" w:rsidRDefault="00BD3C56" w:rsidP="00BD3C56">
      <w:pPr>
        <w:pStyle w:val="Heading1"/>
      </w:pPr>
      <w:r w:rsidRPr="00BD3C56">
        <w:t>What can parents and carers do?</w:t>
      </w:r>
    </w:p>
    <w:p w14:paraId="2635F59F" w14:textId="77777777" w:rsidR="00BD3C56" w:rsidRPr="00BD3C56" w:rsidRDefault="00BD3C56" w:rsidP="00BD3C56">
      <w:pPr>
        <w:pStyle w:val="ListParagraph"/>
        <w:numPr>
          <w:ilvl w:val="0"/>
          <w:numId w:val="12"/>
        </w:numPr>
      </w:pPr>
      <w:hyperlink r:id="rId14" w:history="1">
        <w:r w:rsidRPr="00BD3C56">
          <w:rPr>
            <w:rStyle w:val="Hyperlink"/>
          </w:rPr>
          <w:t>Understand why young people gamble</w:t>
        </w:r>
      </w:hyperlink>
    </w:p>
    <w:p w14:paraId="5AC1EC5B" w14:textId="77777777" w:rsidR="00BD3C56" w:rsidRDefault="00BD3C56" w:rsidP="00BD3C56">
      <w:pPr>
        <w:pStyle w:val="ListParagraph"/>
        <w:numPr>
          <w:ilvl w:val="0"/>
          <w:numId w:val="12"/>
        </w:numPr>
      </w:pPr>
      <w:hyperlink r:id="rId15" w:history="1">
        <w:r w:rsidRPr="00BD3C56">
          <w:rPr>
            <w:rStyle w:val="Hyperlink"/>
          </w:rPr>
          <w:t>Ask your school to host a free parent information session</w:t>
        </w:r>
      </w:hyperlink>
    </w:p>
    <w:p w14:paraId="067AC8A0" w14:textId="0AEDAAE6" w:rsidR="00BD3C56" w:rsidRPr="00BD3C56" w:rsidRDefault="00BD3C56" w:rsidP="00BD3C56">
      <w:pPr>
        <w:pStyle w:val="ListParagraph"/>
        <w:numPr>
          <w:ilvl w:val="0"/>
          <w:numId w:val="12"/>
        </w:numPr>
      </w:pPr>
      <w:hyperlink r:id="rId16" w:history="1">
        <w:r w:rsidRPr="00BD3C56">
          <w:rPr>
            <w:rStyle w:val="Hyperlink"/>
          </w:rPr>
          <w:t>Learn how community sporting clubs can take a stand against sports betting advertising.</w:t>
        </w:r>
      </w:hyperlink>
    </w:p>
    <w:p w14:paraId="2F6F63FD" w14:textId="77777777" w:rsidR="00BD3C56" w:rsidRPr="00BD3C56" w:rsidRDefault="00BD3C56" w:rsidP="00BD3C56">
      <w:pPr>
        <w:pStyle w:val="Heading1"/>
      </w:pPr>
      <w:r w:rsidRPr="00BD3C56">
        <w:t>Need help?</w:t>
      </w:r>
    </w:p>
    <w:p w14:paraId="5F5BADC9" w14:textId="77777777" w:rsidR="00BD3C56" w:rsidRPr="00BD3C56" w:rsidRDefault="00BD3C56" w:rsidP="00BD3C56">
      <w:r w:rsidRPr="00BD3C56">
        <w:t>Gambler’s Help provides a range of support options for parents and carers who are concerned about their own or a young person's gambling. Visit </w:t>
      </w:r>
      <w:hyperlink r:id="rId17" w:history="1">
        <w:r w:rsidRPr="00BD3C56">
          <w:rPr>
            <w:rStyle w:val="Hyperlink"/>
          </w:rPr>
          <w:t>gamblershelp.com.au</w:t>
        </w:r>
      </w:hyperlink>
      <w:r w:rsidRPr="00BD3C56">
        <w:t> or call </w:t>
      </w:r>
      <w:r w:rsidRPr="00BD3C56">
        <w:rPr>
          <w:b/>
          <w:bCs/>
        </w:rPr>
        <w:t>1800 858 858</w:t>
      </w:r>
      <w:r w:rsidRPr="00BD3C56">
        <w:t> for free, confidential, 24/7 support.</w:t>
      </w:r>
    </w:p>
    <w:p w14:paraId="5B26DFCB" w14:textId="77777777" w:rsidR="00BD3C56" w:rsidRPr="00BD3C56" w:rsidRDefault="00BD3C56" w:rsidP="00BD3C56">
      <w:hyperlink r:id="rId18" w:history="1">
        <w:r w:rsidRPr="00BD3C56">
          <w:rPr>
            <w:rStyle w:val="Hyperlink"/>
          </w:rPr>
          <w:t>Visit the 'Get support' page for more support options.</w:t>
        </w:r>
      </w:hyperlink>
    </w:p>
    <w:p w14:paraId="3D1620BC" w14:textId="3FF156FF" w:rsidR="0057436D" w:rsidRPr="001C3317" w:rsidRDefault="00BD3C56" w:rsidP="00BF52FB">
      <w:pPr>
        <w:pStyle w:val="Heading1"/>
      </w:pPr>
      <w:r>
        <w:t>Sources</w:t>
      </w:r>
    </w:p>
    <w:sectPr w:rsidR="0057436D" w:rsidRPr="001C3317" w:rsidSect="007A4AD3">
      <w:headerReference w:type="default" r:id="rId19"/>
      <w:footerReference w:type="even" r:id="rId20"/>
      <w:footerReference w:type="default" r:id="rId21"/>
      <w:footerReference w:type="first" r:id="rId22"/>
      <w:pgSz w:w="11906" w:h="16838"/>
      <w:pgMar w:top="1440" w:right="1440" w:bottom="1276" w:left="1440"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80F85" w14:textId="77777777" w:rsidR="00CF01D1" w:rsidRDefault="00CF01D1" w:rsidP="001C3317">
      <w:pPr>
        <w:spacing w:after="0" w:line="240" w:lineRule="auto"/>
      </w:pPr>
      <w:r>
        <w:separator/>
      </w:r>
    </w:p>
  </w:endnote>
  <w:endnote w:type="continuationSeparator" w:id="0">
    <w:p w14:paraId="02BB7628" w14:textId="77777777" w:rsidR="00CF01D1" w:rsidRDefault="00CF01D1" w:rsidP="001C3317">
      <w:pPr>
        <w:spacing w:after="0" w:line="240" w:lineRule="auto"/>
      </w:pPr>
      <w:r>
        <w:continuationSeparator/>
      </w:r>
    </w:p>
  </w:endnote>
  <w:endnote w:id="1">
    <w:p w14:paraId="31748F9E" w14:textId="69EF65B6" w:rsidR="00BD3C56" w:rsidRPr="00BD3C56" w:rsidRDefault="00BD3C56">
      <w:pPr>
        <w:pStyle w:val="EndnoteText"/>
        <w:rPr>
          <w:lang w:val="en-US"/>
        </w:rPr>
      </w:pPr>
      <w:r>
        <w:rPr>
          <w:rStyle w:val="EndnoteReference"/>
        </w:rPr>
        <w:endnoteRef/>
      </w:r>
      <w:r>
        <w:t xml:space="preserve"> </w:t>
      </w:r>
      <w:r w:rsidRPr="00BD3C56">
        <w:t xml:space="preserve">Duffy, L. 2021, </w:t>
      </w:r>
      <w:hyperlink r:id="rId1" w:history="1">
        <w:r w:rsidRPr="00BD3C56">
          <w:rPr>
            <w:rStyle w:val="Hyperlink"/>
          </w:rPr>
          <w:t>Gen bet: a plain English summary of research into gambling and young people</w:t>
        </w:r>
      </w:hyperlink>
      <w:r w:rsidRPr="00BD3C56">
        <w:t>, Victorian Responsible Gambling Foundation, Melbourne.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F45D" w14:textId="274E2D1B" w:rsidR="0076376A" w:rsidRDefault="0076376A">
    <w:pPr>
      <w:pStyle w:val="Footer"/>
    </w:pPr>
    <w:r>
      <w:rPr>
        <w:noProof/>
      </w:rPr>
      <mc:AlternateContent>
        <mc:Choice Requires="wps">
          <w:drawing>
            <wp:anchor distT="0" distB="0" distL="0" distR="0" simplePos="0" relativeHeight="251658241" behindDoc="0" locked="0" layoutInCell="1" allowOverlap="1" wp14:anchorId="7D253E92" wp14:editId="591B32B7">
              <wp:simplePos x="635" y="635"/>
              <wp:positionH relativeFrom="page">
                <wp:align>center</wp:align>
              </wp:positionH>
              <wp:positionV relativeFrom="page">
                <wp:align>bottom</wp:align>
              </wp:positionV>
              <wp:extent cx="656590" cy="398145"/>
              <wp:effectExtent l="0" t="0" r="10160" b="0"/>
              <wp:wrapNone/>
              <wp:docPr id="121675857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53E92" id="_x0000_t202" coordsize="21600,21600" o:spt="202" path="m,l,21600r21600,l21600,xe">
              <v:stroke joinstyle="miter"/>
              <v:path gradientshapeok="t" o:connecttype="rect"/>
            </v:shapetype>
            <v:shape id="Text Box 4" o:spid="_x0000_s1026" type="#_x0000_t202" alt="OFFICIAL" style="position:absolute;margin-left:0;margin-top:0;width:51.7pt;height:31.3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" filled="f" stroked="f">
              <v:textbox style="mso-fit-shape-to-text:t" inset="0,0,0,15pt">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7160A" w14:textId="4410B1C2" w:rsidR="00D72DB7" w:rsidRDefault="0076376A" w:rsidP="007A4AD3">
    <w:pPr>
      <w:pStyle w:val="Footer"/>
      <w:pBdr>
        <w:top w:val="single" w:sz="4" w:space="1" w:color="156082" w:themeColor="accent1"/>
      </w:pBdr>
      <w:jc w:val="right"/>
    </w:pPr>
    <w:r>
      <w:rPr>
        <w:noProof/>
      </w:rPr>
      <mc:AlternateContent>
        <mc:Choice Requires="wps">
          <w:drawing>
            <wp:anchor distT="0" distB="0" distL="0" distR="0" simplePos="0" relativeHeight="251658242" behindDoc="0" locked="0" layoutInCell="1" allowOverlap="1" wp14:anchorId="62A85E74" wp14:editId="2C810582">
              <wp:simplePos x="914400" y="9867900"/>
              <wp:positionH relativeFrom="page">
                <wp:align>center</wp:align>
              </wp:positionH>
              <wp:positionV relativeFrom="page">
                <wp:align>bottom</wp:align>
              </wp:positionV>
              <wp:extent cx="656590" cy="398145"/>
              <wp:effectExtent l="0" t="0" r="10160" b="0"/>
              <wp:wrapNone/>
              <wp:docPr id="1744455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A85E74" id="_x0000_t202" coordsize="21600,21600" o:spt="202" path="m,l,21600r21600,l21600,xe">
              <v:stroke joinstyle="miter"/>
              <v:path gradientshapeok="t" o:connecttype="rect"/>
            </v:shapetype>
            <v:shape id="Text Box 5" o:spid="_x0000_s1027" type="#_x0000_t202" alt="OFFICIAL" style="position:absolute;left:0;text-align:left;margin-left:0;margin-top:0;width:51.7pt;height:31.3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" filled="f" stroked="f">
              <v:textbox style="mso-fit-shape-to-text:t" inset="0,0,0,15pt">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v:textbox>
              <w10:wrap anchorx="page" anchory="page"/>
            </v:shape>
          </w:pict>
        </mc:Fallback>
      </mc:AlternateContent>
    </w:r>
    <w:hyperlink r:id="rId1" w:history="1">
      <w:r w:rsidR="007A4AD3" w:rsidRPr="00FB1C06">
        <w:rPr>
          <w:rStyle w:val="Hyperlink"/>
        </w:rPr>
        <w:t>www.beaheadofthegame.vic.gov.au</w:t>
      </w:r>
    </w:hyperlink>
    <w:r w:rsidR="007A4AD3">
      <w:tab/>
    </w:r>
    <w:r w:rsidR="007A4AD3">
      <w:tab/>
    </w:r>
    <w:sdt>
      <w:sdtPr>
        <w:id w:val="-643426864"/>
        <w:docPartObj>
          <w:docPartGallery w:val="Page Numbers (Bottom of Page)"/>
          <w:docPartUnique/>
        </w:docPartObj>
      </w:sdtPr>
      <w:sdtEndPr>
        <w:rPr>
          <w:noProof/>
        </w:rPr>
      </w:sdtEndPr>
      <w:sdtContent>
        <w:r w:rsidR="00D72DB7">
          <w:fldChar w:fldCharType="begin"/>
        </w:r>
        <w:r w:rsidR="00D72DB7">
          <w:instrText xml:space="preserve"> PAGE   \* MERGEFORMAT </w:instrText>
        </w:r>
        <w:r w:rsidR="00D72DB7">
          <w:fldChar w:fldCharType="separate"/>
        </w:r>
        <w:r w:rsidR="00D72DB7">
          <w:rPr>
            <w:noProof/>
          </w:rPr>
          <w:t>2</w:t>
        </w:r>
        <w:r w:rsidR="00D72DB7">
          <w:rPr>
            <w:noProof/>
          </w:rPr>
          <w:fldChar w:fldCharType="end"/>
        </w:r>
      </w:sdtContent>
    </w:sdt>
  </w:p>
  <w:p w14:paraId="2705D37E" w14:textId="77777777" w:rsidR="00D72DB7" w:rsidRDefault="00D72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3FA8" w14:textId="193A9DC4" w:rsidR="0076376A" w:rsidRDefault="0076376A">
    <w:pPr>
      <w:pStyle w:val="Footer"/>
    </w:pPr>
    <w:r>
      <w:rPr>
        <w:noProof/>
      </w:rPr>
      <mc:AlternateContent>
        <mc:Choice Requires="wps">
          <w:drawing>
            <wp:anchor distT="0" distB="0" distL="0" distR="0" simplePos="0" relativeHeight="251658240" behindDoc="0" locked="0" layoutInCell="1" allowOverlap="1" wp14:anchorId="78C327D0" wp14:editId="71143903">
              <wp:simplePos x="635" y="635"/>
              <wp:positionH relativeFrom="page">
                <wp:align>center</wp:align>
              </wp:positionH>
              <wp:positionV relativeFrom="page">
                <wp:align>bottom</wp:align>
              </wp:positionV>
              <wp:extent cx="656590" cy="398145"/>
              <wp:effectExtent l="0" t="0" r="10160" b="0"/>
              <wp:wrapNone/>
              <wp:docPr id="8276760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C327D0" id="_x0000_t202" coordsize="21600,21600" o:spt="202" path="m,l,21600r21600,l21600,xe">
              <v:stroke joinstyle="miter"/>
              <v:path gradientshapeok="t" o:connecttype="rect"/>
            </v:shapetype>
            <v:shape id="Text Box 3" o:spid="_x0000_s1028" type="#_x0000_t202" alt="OFFICIAL" style="position:absolute;margin-left:0;margin-top:0;width:51.7pt;height:31.3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" filled="f" stroked="f">
              <v:textbox style="mso-fit-shape-to-text:t" inset="0,0,0,15pt">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5928B" w14:textId="77777777" w:rsidR="00CF01D1" w:rsidRDefault="00CF01D1" w:rsidP="001C3317">
      <w:pPr>
        <w:spacing w:after="0" w:line="240" w:lineRule="auto"/>
      </w:pPr>
      <w:r>
        <w:separator/>
      </w:r>
    </w:p>
  </w:footnote>
  <w:footnote w:type="continuationSeparator" w:id="0">
    <w:p w14:paraId="03EA30E9" w14:textId="77777777" w:rsidR="00CF01D1" w:rsidRDefault="00CF01D1" w:rsidP="001C3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D8B" w14:textId="79F4CF22" w:rsidR="001C3317" w:rsidRPr="001C3317" w:rsidRDefault="001C3317" w:rsidP="001C3317">
    <w:pPr>
      <w:pStyle w:val="Header"/>
      <w:jc w:val="right"/>
      <w:rPr>
        <w:b/>
        <w:bCs/>
      </w:rPr>
    </w:pPr>
    <w:r w:rsidRPr="001C3317">
      <w:rPr>
        <w:b/>
        <w:bCs/>
      </w:rPr>
      <w:t>FACTSHEET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05EC"/>
    <w:multiLevelType w:val="multilevel"/>
    <w:tmpl w:val="E07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27859"/>
    <w:multiLevelType w:val="hybridMultilevel"/>
    <w:tmpl w:val="00A86458"/>
    <w:lvl w:ilvl="0" w:tplc="4DA64C4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A978E3"/>
    <w:multiLevelType w:val="hybridMultilevel"/>
    <w:tmpl w:val="D88C2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7A34E2"/>
    <w:multiLevelType w:val="multilevel"/>
    <w:tmpl w:val="EB74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6828AD"/>
    <w:multiLevelType w:val="hybridMultilevel"/>
    <w:tmpl w:val="438E2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F83007"/>
    <w:multiLevelType w:val="hybridMultilevel"/>
    <w:tmpl w:val="74429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0C4D97"/>
    <w:multiLevelType w:val="multilevel"/>
    <w:tmpl w:val="C34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4B4501"/>
    <w:multiLevelType w:val="hybridMultilevel"/>
    <w:tmpl w:val="D7D0D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943B1D"/>
    <w:multiLevelType w:val="hybridMultilevel"/>
    <w:tmpl w:val="1E14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35352F"/>
    <w:multiLevelType w:val="hybridMultilevel"/>
    <w:tmpl w:val="2EFA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DD4AE7"/>
    <w:multiLevelType w:val="multilevel"/>
    <w:tmpl w:val="9CAC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3378F5"/>
    <w:multiLevelType w:val="multilevel"/>
    <w:tmpl w:val="22AE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3334349">
    <w:abstractNumId w:val="9"/>
  </w:num>
  <w:num w:numId="2" w16cid:durableId="1772508569">
    <w:abstractNumId w:val="1"/>
  </w:num>
  <w:num w:numId="3" w16cid:durableId="951935230">
    <w:abstractNumId w:val="6"/>
  </w:num>
  <w:num w:numId="4" w16cid:durableId="725447758">
    <w:abstractNumId w:val="2"/>
  </w:num>
  <w:num w:numId="5" w16cid:durableId="257762050">
    <w:abstractNumId w:val="0"/>
  </w:num>
  <w:num w:numId="6" w16cid:durableId="1796562546">
    <w:abstractNumId w:val="3"/>
  </w:num>
  <w:num w:numId="7" w16cid:durableId="1190334813">
    <w:abstractNumId w:val="7"/>
  </w:num>
  <w:num w:numId="8" w16cid:durableId="254636654">
    <w:abstractNumId w:val="4"/>
  </w:num>
  <w:num w:numId="9" w16cid:durableId="103158500">
    <w:abstractNumId w:val="11"/>
  </w:num>
  <w:num w:numId="10" w16cid:durableId="1105732822">
    <w:abstractNumId w:val="10"/>
  </w:num>
  <w:num w:numId="11" w16cid:durableId="1487167642">
    <w:abstractNumId w:val="5"/>
  </w:num>
  <w:num w:numId="12" w16cid:durableId="1519903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317"/>
    <w:rsid w:val="001C3317"/>
    <w:rsid w:val="002C01DE"/>
    <w:rsid w:val="003E6429"/>
    <w:rsid w:val="00477B16"/>
    <w:rsid w:val="004A484E"/>
    <w:rsid w:val="004A7D05"/>
    <w:rsid w:val="0057436D"/>
    <w:rsid w:val="00650338"/>
    <w:rsid w:val="00660292"/>
    <w:rsid w:val="006D42CE"/>
    <w:rsid w:val="00716DCE"/>
    <w:rsid w:val="0076376A"/>
    <w:rsid w:val="007A4AD3"/>
    <w:rsid w:val="008467A6"/>
    <w:rsid w:val="00905375"/>
    <w:rsid w:val="00936818"/>
    <w:rsid w:val="00957D07"/>
    <w:rsid w:val="00A60AF1"/>
    <w:rsid w:val="00BD3C56"/>
    <w:rsid w:val="00BF52FB"/>
    <w:rsid w:val="00CF01D1"/>
    <w:rsid w:val="00D72DB7"/>
    <w:rsid w:val="00D83FAD"/>
    <w:rsid w:val="00F052E1"/>
    <w:rsid w:val="00FA5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51CCA"/>
  <w15:chartTrackingRefBased/>
  <w15:docId w15:val="{122EBF69-0EBC-4CFE-869B-161326BF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3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C3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3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3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33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3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3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3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3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C3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3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3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3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317"/>
    <w:rPr>
      <w:rFonts w:eastAsiaTheme="majorEastAsia" w:cstheme="majorBidi"/>
      <w:color w:val="272727" w:themeColor="text1" w:themeTint="D8"/>
    </w:rPr>
  </w:style>
  <w:style w:type="paragraph" w:styleId="Title">
    <w:name w:val="Title"/>
    <w:basedOn w:val="Normal"/>
    <w:next w:val="Normal"/>
    <w:link w:val="TitleChar"/>
    <w:uiPriority w:val="10"/>
    <w:qFormat/>
    <w:rsid w:val="001C33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317"/>
    <w:pPr>
      <w:spacing w:before="160"/>
      <w:jc w:val="center"/>
    </w:pPr>
    <w:rPr>
      <w:i/>
      <w:iCs/>
      <w:color w:val="404040" w:themeColor="text1" w:themeTint="BF"/>
    </w:rPr>
  </w:style>
  <w:style w:type="character" w:customStyle="1" w:styleId="QuoteChar">
    <w:name w:val="Quote Char"/>
    <w:basedOn w:val="DefaultParagraphFont"/>
    <w:link w:val="Quote"/>
    <w:uiPriority w:val="29"/>
    <w:rsid w:val="001C3317"/>
    <w:rPr>
      <w:i/>
      <w:iCs/>
      <w:color w:val="404040" w:themeColor="text1" w:themeTint="BF"/>
    </w:rPr>
  </w:style>
  <w:style w:type="paragraph" w:styleId="ListParagraph">
    <w:name w:val="List Paragraph"/>
    <w:basedOn w:val="Normal"/>
    <w:uiPriority w:val="34"/>
    <w:qFormat/>
    <w:rsid w:val="001C3317"/>
    <w:pPr>
      <w:ind w:left="720"/>
      <w:contextualSpacing/>
    </w:pPr>
  </w:style>
  <w:style w:type="character" w:styleId="IntenseEmphasis">
    <w:name w:val="Intense Emphasis"/>
    <w:basedOn w:val="DefaultParagraphFont"/>
    <w:uiPriority w:val="21"/>
    <w:qFormat/>
    <w:rsid w:val="001C3317"/>
    <w:rPr>
      <w:i/>
      <w:iCs/>
      <w:color w:val="0F4761" w:themeColor="accent1" w:themeShade="BF"/>
    </w:rPr>
  </w:style>
  <w:style w:type="paragraph" w:styleId="IntenseQuote">
    <w:name w:val="Intense Quote"/>
    <w:basedOn w:val="Normal"/>
    <w:next w:val="Normal"/>
    <w:link w:val="IntenseQuoteChar"/>
    <w:uiPriority w:val="30"/>
    <w:qFormat/>
    <w:rsid w:val="001C3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3317"/>
    <w:rPr>
      <w:i/>
      <w:iCs/>
      <w:color w:val="0F4761" w:themeColor="accent1" w:themeShade="BF"/>
    </w:rPr>
  </w:style>
  <w:style w:type="character" w:styleId="IntenseReference">
    <w:name w:val="Intense Reference"/>
    <w:basedOn w:val="DefaultParagraphFont"/>
    <w:uiPriority w:val="32"/>
    <w:qFormat/>
    <w:rsid w:val="001C3317"/>
    <w:rPr>
      <w:b/>
      <w:bCs/>
      <w:smallCaps/>
      <w:color w:val="0F4761" w:themeColor="accent1" w:themeShade="BF"/>
      <w:spacing w:val="5"/>
    </w:rPr>
  </w:style>
  <w:style w:type="paragraph" w:styleId="Header">
    <w:name w:val="header"/>
    <w:basedOn w:val="Normal"/>
    <w:link w:val="HeaderChar"/>
    <w:uiPriority w:val="99"/>
    <w:unhideWhenUsed/>
    <w:rsid w:val="001C3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317"/>
  </w:style>
  <w:style w:type="paragraph" w:styleId="Footer">
    <w:name w:val="footer"/>
    <w:basedOn w:val="Normal"/>
    <w:link w:val="FooterChar"/>
    <w:uiPriority w:val="99"/>
    <w:unhideWhenUsed/>
    <w:rsid w:val="001C3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317"/>
  </w:style>
  <w:style w:type="character" w:styleId="Hyperlink">
    <w:name w:val="Hyperlink"/>
    <w:basedOn w:val="DefaultParagraphFont"/>
    <w:uiPriority w:val="99"/>
    <w:unhideWhenUsed/>
    <w:rsid w:val="006D42CE"/>
    <w:rPr>
      <w:color w:val="467886" w:themeColor="hyperlink"/>
      <w:u w:val="single"/>
    </w:rPr>
  </w:style>
  <w:style w:type="character" w:styleId="UnresolvedMention">
    <w:name w:val="Unresolved Mention"/>
    <w:basedOn w:val="DefaultParagraphFont"/>
    <w:uiPriority w:val="99"/>
    <w:semiHidden/>
    <w:unhideWhenUsed/>
    <w:rsid w:val="006D42CE"/>
    <w:rPr>
      <w:color w:val="605E5C"/>
      <w:shd w:val="clear" w:color="auto" w:fill="E1DFDD"/>
    </w:rPr>
  </w:style>
  <w:style w:type="paragraph" w:styleId="NoSpacing">
    <w:name w:val="No Spacing"/>
    <w:uiPriority w:val="1"/>
    <w:qFormat/>
    <w:rsid w:val="00957D07"/>
    <w:pPr>
      <w:spacing w:after="0" w:line="240" w:lineRule="auto"/>
    </w:pPr>
  </w:style>
  <w:style w:type="character" w:styleId="FollowedHyperlink">
    <w:name w:val="FollowedHyperlink"/>
    <w:basedOn w:val="DefaultParagraphFont"/>
    <w:uiPriority w:val="99"/>
    <w:semiHidden/>
    <w:unhideWhenUsed/>
    <w:rsid w:val="0057436D"/>
    <w:rPr>
      <w:color w:val="96607D" w:themeColor="followedHyperlink"/>
      <w:u w:val="single"/>
    </w:rPr>
  </w:style>
  <w:style w:type="paragraph" w:styleId="FootnoteText">
    <w:name w:val="footnote text"/>
    <w:basedOn w:val="Normal"/>
    <w:link w:val="FootnoteTextChar"/>
    <w:uiPriority w:val="99"/>
    <w:semiHidden/>
    <w:unhideWhenUsed/>
    <w:rsid w:val="005743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436D"/>
    <w:rPr>
      <w:sz w:val="20"/>
      <w:szCs w:val="20"/>
    </w:rPr>
  </w:style>
  <w:style w:type="character" w:styleId="FootnoteReference">
    <w:name w:val="footnote reference"/>
    <w:basedOn w:val="DefaultParagraphFont"/>
    <w:uiPriority w:val="99"/>
    <w:semiHidden/>
    <w:unhideWhenUsed/>
    <w:rsid w:val="0057436D"/>
    <w:rPr>
      <w:vertAlign w:val="superscript"/>
    </w:rPr>
  </w:style>
  <w:style w:type="paragraph" w:styleId="EndnoteText">
    <w:name w:val="endnote text"/>
    <w:basedOn w:val="Normal"/>
    <w:link w:val="EndnoteTextChar"/>
    <w:uiPriority w:val="99"/>
    <w:semiHidden/>
    <w:unhideWhenUsed/>
    <w:rsid w:val="005743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436D"/>
    <w:rPr>
      <w:sz w:val="20"/>
      <w:szCs w:val="20"/>
    </w:rPr>
  </w:style>
  <w:style w:type="character" w:styleId="EndnoteReference">
    <w:name w:val="endnote reference"/>
    <w:basedOn w:val="DefaultParagraphFont"/>
    <w:uiPriority w:val="99"/>
    <w:semiHidden/>
    <w:unhideWhenUsed/>
    <w:rsid w:val="005743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dbaotg.responsiblegambling.vic.gov.au/young-people/gambling-myths/" TargetMode="External"/><Relationship Id="rId18" Type="http://schemas.openxmlformats.org/officeDocument/2006/relationships/hyperlink" Target="https://prodbaotg.responsiblegambling.vic.gov.au/whats-the-issue/get-support/"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gamblershelp.com.au/" TargetMode="External"/><Relationship Id="rId2" Type="http://schemas.openxmlformats.org/officeDocument/2006/relationships/customXml" Target="../customXml/item2.xml"/><Relationship Id="rId16" Type="http://schemas.openxmlformats.org/officeDocument/2006/relationships/hyperlink" Target="https://lovethegame.vic.gov.au/join-love-gam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dbaotg.responsiblegambling.vic.gov.au/teachers-and-schools/information-session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dbaotg.responsiblegambling.vic.gov.au/whats-the-issue/why-young-people-gamble/" TargetMode="External"/><Relationship Id="rId22" Type="http://schemas.openxmlformats.org/officeDocument/2006/relationships/footer" Target="footer3.xml"/></Relationships>
</file>

<file path=word/_rels/endnotes.xml.rels><?xml version="1.0" encoding="UTF-8" standalone="yes"?>
<Relationships xmlns="http://schemas.openxmlformats.org/package/2006/relationships"><Relationship Id="rId1" Type="http://schemas.openxmlformats.org/officeDocument/2006/relationships/hyperlink" Target="https://responsiblegambling.vic.gov.au/documents/990/VRGF_DP_GenBet_AUG21_e_lIKLYhN.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eaheadofthegam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E67805AD127A4C891525FB74F01F75" ma:contentTypeVersion="11" ma:contentTypeDescription="Create a new document." ma:contentTypeScope="" ma:versionID="cc0227bc6700ada0de671774a32800c3">
  <xsd:schema xmlns:xsd="http://www.w3.org/2001/XMLSchema" xmlns:xs="http://www.w3.org/2001/XMLSchema" xmlns:p="http://schemas.microsoft.com/office/2006/metadata/properties" xmlns:ns2="eb8175da-692f-4ffd-8d30-578a731ab18f" targetNamespace="http://schemas.microsoft.com/office/2006/metadata/properties" ma:root="true" ma:fieldsID="53261941bdddc5f8a44e30b8423c87b8" ns2:_="">
    <xsd:import namespace="eb8175da-692f-4ffd-8d30-578a731ab1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175da-692f-4ffd-8d30-578a731ab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8175da-692f-4ffd-8d30-578a731ab18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17984-04B1-4DC1-8D48-4F223D8E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175da-692f-4ffd-8d30-578a731ab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86740C-BE36-4F2B-981F-41009CA5BC84}">
  <ds:schemaRefs>
    <ds:schemaRef ds:uri="http://schemas.microsoft.com/office/2006/metadata/properties"/>
    <ds:schemaRef ds:uri="http://schemas.microsoft.com/office/infopath/2007/PartnerControls"/>
    <ds:schemaRef ds:uri="eb8175da-692f-4ffd-8d30-578a731ab18f"/>
  </ds:schemaRefs>
</ds:datastoreItem>
</file>

<file path=customXml/itemProps3.xml><?xml version="1.0" encoding="utf-8"?>
<ds:datastoreItem xmlns:ds="http://schemas.openxmlformats.org/officeDocument/2006/customXml" ds:itemID="{E5F23C6E-B4D9-41AD-B007-D6B45BD987EC}">
  <ds:schemaRefs>
    <ds:schemaRef ds:uri="http://schemas.microsoft.com/sharepoint/v3/contenttype/forms"/>
  </ds:schemaRefs>
</ds:datastoreItem>
</file>

<file path=customXml/itemProps4.xml><?xml version="1.0" encoding="utf-8"?>
<ds:datastoreItem xmlns:ds="http://schemas.openxmlformats.org/officeDocument/2006/customXml" ds:itemID="{B3BD890D-F8E0-42F5-ABB0-E3CD15C0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413</Words>
  <Characters>2364</Characters>
  <Application>Microsoft Office Word</Application>
  <DocSecurity>0</DocSecurity>
  <Lines>57</Lines>
  <Paragraphs>39</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vt:lpstr>
      <vt:lpstr>Key insights</vt:lpstr>
      <vt:lpstr>Are young people gambling?</vt:lpstr>
      <vt:lpstr>    Sports betting among young people</vt:lpstr>
      <vt:lpstr>How does gambling affect young people?</vt:lpstr>
      <vt:lpstr>    Gambling is not like other forms of entertainment</vt:lpstr>
      <vt:lpstr>    How are young people exposed to gambling?</vt:lpstr>
      <vt:lpstr>    The convergence of gaming and gambling</vt:lpstr>
      <vt:lpstr>    Betting and alcohol use are often seen as a 'rite of passage' for young people</vt:lpstr>
      <vt:lpstr>Why are young people at greater risk of gambling harm?</vt:lpstr>
      <vt:lpstr>    Gambling harm starts early</vt:lpstr>
      <vt:lpstr>    Gambling can look like harmless fun to children and teenagers</vt:lpstr>
      <vt:lpstr>    How young brains respond to gambling</vt:lpstr>
      <vt:lpstr>The rise of sports betting among young people</vt:lpstr>
      <vt:lpstr>    The risks of sports betting</vt:lpstr>
      <vt:lpstr>    Young men are most at risk (but young women are catching up)</vt:lpstr>
      <vt:lpstr>Sources</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Hince (Health)</dc:creator>
  <cp:keywords/>
  <dc:description/>
  <cp:lastModifiedBy>Andrea Hince (Health)</cp:lastModifiedBy>
  <cp:revision>2</cp:revision>
  <cp:lastPrinted>2026-02-22T21:59:00Z</cp:lastPrinted>
  <dcterms:created xsi:type="dcterms:W3CDTF">2026-02-22T22:06:00Z</dcterms:created>
  <dcterms:modified xsi:type="dcterms:W3CDTF">2026-02-22T22:06:00Z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4eeeef5,4886432a,a65d3f7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2026-01-26T00:00:31Z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e40d0c3f-7cee-4f77-abad-6022d57c4a1e</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ContentTypeId">
    <vt:lpwstr>0x010100DCE67805AD127A4C891525FB74F01F75</vt:lpwstr>
  </property>
  <property fmtid="{D5CDD505-2E9C-101B-9397-08002B2CF9AE}" pid="14" name="docLang">
    <vt:lpwstr>en</vt:lpwstr>
  </property>
  <property fmtid="{D5CDD505-2E9C-101B-9397-08002B2CF9AE}" pid="15" name="MediaServiceImageTags">
    <vt:lpwstr/>
  </property>
</Properties>
</file>