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D5EA" w14:textId="77777777" w:rsidR="00CC201D" w:rsidRPr="002D7151" w:rsidRDefault="00CC201D" w:rsidP="002D7151">
      <w:pPr>
        <w:tabs>
          <w:tab w:val="left" w:pos="2269"/>
        </w:tabs>
        <w:spacing w:before="120"/>
        <w:rPr>
          <w:rFonts w:cs="Calibri"/>
          <w:b/>
          <w:bCs/>
          <w:color w:val="034D81"/>
        </w:rPr>
      </w:pPr>
      <w:r w:rsidRPr="002D7151">
        <w:rPr>
          <w:rFonts w:cs="Calibri"/>
          <w:b/>
          <w:bCs/>
          <w:color w:val="034D81"/>
        </w:rPr>
        <w:t xml:space="preserve">Include this </w:t>
      </w:r>
      <w:r w:rsidR="00233FFE" w:rsidRPr="002D7151">
        <w:rPr>
          <w:rFonts w:cs="Calibri"/>
          <w:b/>
          <w:bCs/>
          <w:color w:val="034D81"/>
        </w:rPr>
        <w:t>article</w:t>
      </w:r>
      <w:r w:rsidRPr="002D7151">
        <w:rPr>
          <w:rFonts w:cs="Calibri"/>
          <w:b/>
          <w:bCs/>
          <w:color w:val="034D81"/>
        </w:rPr>
        <w:t xml:space="preserve"> in your newsletters and communications </w:t>
      </w:r>
      <w:r w:rsidR="00C4463C" w:rsidRPr="002D7151">
        <w:rPr>
          <w:rFonts w:cs="Calibri"/>
          <w:b/>
          <w:bCs/>
          <w:color w:val="034D81"/>
        </w:rPr>
        <w:t>to</w:t>
      </w:r>
      <w:r w:rsidRPr="002D7151">
        <w:rPr>
          <w:rFonts w:cs="Calibri"/>
          <w:b/>
          <w:bCs/>
          <w:color w:val="034D81"/>
        </w:rPr>
        <w:t xml:space="preserve"> </w:t>
      </w:r>
      <w:r w:rsidR="00C4463C" w:rsidRPr="002D7151">
        <w:rPr>
          <w:rFonts w:cs="Calibri"/>
          <w:b/>
          <w:bCs/>
          <w:color w:val="034D81"/>
        </w:rPr>
        <w:t xml:space="preserve">the </w:t>
      </w:r>
      <w:r w:rsidRPr="002D7151">
        <w:rPr>
          <w:rFonts w:cs="Calibri"/>
          <w:b/>
          <w:bCs/>
          <w:color w:val="034D81"/>
        </w:rPr>
        <w:t>parents and carers of your students.</w:t>
      </w:r>
    </w:p>
    <w:p w14:paraId="58DF49F9" w14:textId="77777777" w:rsidR="008B0079" w:rsidRDefault="008B0079" w:rsidP="008B0079">
      <w:pPr>
        <w:rPr>
          <w:sz w:val="22"/>
          <w:szCs w:val="22"/>
          <w:lang w:val="en"/>
        </w:rPr>
      </w:pPr>
    </w:p>
    <w:p w14:paraId="0925B8BE" w14:textId="77777777" w:rsidR="008B0079" w:rsidRDefault="008B0079" w:rsidP="008B0079">
      <w:pPr>
        <w:pStyle w:val="Heading1"/>
        <w:ind w:left="720"/>
        <w:rPr>
          <w:lang w:val="en"/>
        </w:rPr>
      </w:pPr>
      <w:r w:rsidRPr="008B0079">
        <w:rPr>
          <w:lang w:val="en"/>
        </w:rPr>
        <w:t xml:space="preserve">Three ways to limit your </w:t>
      </w:r>
      <w:proofErr w:type="gramStart"/>
      <w:r w:rsidRPr="008B0079">
        <w:rPr>
          <w:lang w:val="en"/>
        </w:rPr>
        <w:t>teen’s</w:t>
      </w:r>
      <w:proofErr w:type="gramEnd"/>
      <w:r w:rsidRPr="008B0079">
        <w:rPr>
          <w:lang w:val="en"/>
        </w:rPr>
        <w:t xml:space="preserve"> exposure to gambling</w:t>
      </w:r>
    </w:p>
    <w:p w14:paraId="072CF7FD" w14:textId="77777777" w:rsidR="008B0079" w:rsidRDefault="008B0079" w:rsidP="008B0079">
      <w:pPr>
        <w:ind w:left="720"/>
        <w:rPr>
          <w:sz w:val="22"/>
          <w:szCs w:val="22"/>
          <w:lang w:val="en"/>
        </w:rPr>
      </w:pPr>
      <w:r w:rsidRPr="008B0079">
        <w:rPr>
          <w:sz w:val="22"/>
          <w:szCs w:val="22"/>
          <w:lang w:val="en"/>
        </w:rPr>
        <w:t xml:space="preserve">These days, gambling is more promoted and accessible than ever, with teens exposed to it more than most. This can make it hard for them to </w:t>
      </w:r>
      <w:proofErr w:type="spellStart"/>
      <w:r w:rsidRPr="008B0079">
        <w:rPr>
          <w:sz w:val="22"/>
          <w:szCs w:val="22"/>
          <w:lang w:val="en"/>
        </w:rPr>
        <w:t>recognise</w:t>
      </w:r>
      <w:proofErr w:type="spellEnd"/>
      <w:r w:rsidRPr="008B0079">
        <w:rPr>
          <w:sz w:val="22"/>
          <w:szCs w:val="22"/>
          <w:lang w:val="en"/>
        </w:rPr>
        <w:t xml:space="preserve"> potential risks</w:t>
      </w:r>
      <w:r w:rsidR="00AA319C">
        <w:rPr>
          <w:sz w:val="22"/>
          <w:szCs w:val="22"/>
          <w:lang w:val="en"/>
        </w:rPr>
        <w:t xml:space="preserve"> of gambling</w:t>
      </w:r>
      <w:r w:rsidRPr="008B0079">
        <w:rPr>
          <w:sz w:val="22"/>
          <w:szCs w:val="22"/>
          <w:lang w:val="en"/>
        </w:rPr>
        <w:t xml:space="preserve">. </w:t>
      </w:r>
    </w:p>
    <w:p w14:paraId="633269C4" w14:textId="77777777" w:rsidR="00AA319C" w:rsidRPr="008B0079" w:rsidRDefault="00AA319C" w:rsidP="008B0079">
      <w:pPr>
        <w:ind w:left="720"/>
        <w:rPr>
          <w:sz w:val="22"/>
          <w:szCs w:val="22"/>
          <w:lang w:val="en"/>
        </w:rPr>
      </w:pPr>
    </w:p>
    <w:p w14:paraId="201081A3" w14:textId="77777777" w:rsidR="008B0079" w:rsidRDefault="008B0079" w:rsidP="008B0079">
      <w:pPr>
        <w:ind w:left="720"/>
        <w:rPr>
          <w:sz w:val="22"/>
          <w:szCs w:val="22"/>
          <w:lang w:val="en"/>
        </w:rPr>
      </w:pPr>
      <w:r w:rsidRPr="008B0079">
        <w:rPr>
          <w:sz w:val="22"/>
          <w:szCs w:val="22"/>
          <w:lang w:val="en"/>
        </w:rPr>
        <w:t>So how can we help to reduce teenage children’s exposure to gambling promotion? Here are three handy tips:</w:t>
      </w:r>
    </w:p>
    <w:p w14:paraId="344A003D" w14:textId="77777777" w:rsidR="00AA319C" w:rsidRPr="008B0079" w:rsidRDefault="00AA319C" w:rsidP="008B0079">
      <w:pPr>
        <w:ind w:left="720"/>
        <w:rPr>
          <w:sz w:val="22"/>
          <w:szCs w:val="22"/>
          <w:lang w:val="en"/>
        </w:rPr>
      </w:pPr>
    </w:p>
    <w:p w14:paraId="15F7FC94" w14:textId="77777777" w:rsidR="008B0079" w:rsidRPr="008B0079" w:rsidRDefault="008B0079" w:rsidP="008B0079">
      <w:pPr>
        <w:numPr>
          <w:ilvl w:val="0"/>
          <w:numId w:val="14"/>
        </w:numPr>
        <w:ind w:left="1440"/>
        <w:rPr>
          <w:sz w:val="22"/>
          <w:szCs w:val="22"/>
          <w:lang w:val="en"/>
        </w:rPr>
      </w:pPr>
      <w:r w:rsidRPr="008B0079">
        <w:rPr>
          <w:sz w:val="22"/>
          <w:szCs w:val="22"/>
          <w:lang w:val="en"/>
        </w:rPr>
        <w:t xml:space="preserve">Consider installing a filter on home computers and tablets to block gambling websites. A Google search for ‘parental </w:t>
      </w:r>
      <w:proofErr w:type="gramStart"/>
      <w:r w:rsidRPr="008B0079">
        <w:rPr>
          <w:sz w:val="22"/>
          <w:szCs w:val="22"/>
          <w:lang w:val="en"/>
        </w:rPr>
        <w:t>filters’</w:t>
      </w:r>
      <w:proofErr w:type="gramEnd"/>
      <w:r w:rsidRPr="008B0079">
        <w:rPr>
          <w:sz w:val="22"/>
          <w:szCs w:val="22"/>
          <w:lang w:val="en"/>
        </w:rPr>
        <w:t xml:space="preserve"> will list available programs and reviews. Examples include cyberpatrol.com and gamblock.com.</w:t>
      </w:r>
    </w:p>
    <w:p w14:paraId="65A17A21" w14:textId="77777777" w:rsidR="008B0079" w:rsidRPr="008B0079" w:rsidRDefault="008B0079" w:rsidP="008B0079">
      <w:pPr>
        <w:ind w:left="720"/>
        <w:rPr>
          <w:sz w:val="22"/>
          <w:szCs w:val="22"/>
          <w:lang w:val="en"/>
        </w:rPr>
      </w:pPr>
    </w:p>
    <w:p w14:paraId="7ED71EF3" w14:textId="77777777" w:rsidR="008B0079" w:rsidRPr="008B0079" w:rsidRDefault="008B0079" w:rsidP="008B0079">
      <w:pPr>
        <w:numPr>
          <w:ilvl w:val="0"/>
          <w:numId w:val="14"/>
        </w:numPr>
        <w:ind w:left="1440"/>
        <w:rPr>
          <w:sz w:val="22"/>
          <w:szCs w:val="22"/>
          <w:lang w:val="en"/>
        </w:rPr>
      </w:pPr>
      <w:r w:rsidRPr="008B0079">
        <w:rPr>
          <w:sz w:val="22"/>
          <w:szCs w:val="22"/>
          <w:lang w:val="en"/>
        </w:rPr>
        <w:t>Encourage them to have interests that don’t involve digital devices and consider limiting screen time.</w:t>
      </w:r>
    </w:p>
    <w:p w14:paraId="1DCB3DC0" w14:textId="77777777" w:rsidR="008B0079" w:rsidRPr="008B0079" w:rsidRDefault="008B0079" w:rsidP="008B0079">
      <w:pPr>
        <w:ind w:left="720"/>
        <w:rPr>
          <w:sz w:val="22"/>
          <w:szCs w:val="22"/>
          <w:lang w:val="en"/>
        </w:rPr>
      </w:pPr>
    </w:p>
    <w:p w14:paraId="190CB0C4" w14:textId="77777777" w:rsidR="008B0079" w:rsidRDefault="008B0079" w:rsidP="008B0079">
      <w:pPr>
        <w:numPr>
          <w:ilvl w:val="0"/>
          <w:numId w:val="14"/>
        </w:numPr>
        <w:ind w:left="1440"/>
        <w:rPr>
          <w:sz w:val="22"/>
          <w:szCs w:val="22"/>
          <w:lang w:val="en"/>
        </w:rPr>
      </w:pPr>
      <w:r w:rsidRPr="008B0079">
        <w:rPr>
          <w:sz w:val="22"/>
          <w:szCs w:val="22"/>
          <w:lang w:val="en"/>
        </w:rPr>
        <w:t>Ask your teens to use computers, phones or tablets in the family areas at home, so you can monitor more closely what they’re viewing online.</w:t>
      </w:r>
    </w:p>
    <w:p w14:paraId="16E603A8" w14:textId="77777777" w:rsidR="008B0079" w:rsidRPr="008B0079" w:rsidRDefault="008B0079" w:rsidP="008B0079">
      <w:pPr>
        <w:ind w:left="720"/>
        <w:rPr>
          <w:sz w:val="22"/>
          <w:szCs w:val="22"/>
          <w:lang w:val="en"/>
        </w:rPr>
      </w:pPr>
    </w:p>
    <w:p w14:paraId="1126FD34" w14:textId="77777777" w:rsidR="008B0079" w:rsidRDefault="008B0079" w:rsidP="008B0079">
      <w:pPr>
        <w:ind w:left="720"/>
        <w:rPr>
          <w:sz w:val="22"/>
          <w:szCs w:val="22"/>
          <w:lang w:val="en"/>
        </w:rPr>
      </w:pPr>
      <w:r w:rsidRPr="008B0079">
        <w:rPr>
          <w:sz w:val="22"/>
          <w:szCs w:val="22"/>
          <w:lang w:val="en"/>
        </w:rPr>
        <w:t xml:space="preserve">When putting in place ways to reduce your </w:t>
      </w:r>
      <w:proofErr w:type="gramStart"/>
      <w:r w:rsidRPr="008B0079">
        <w:rPr>
          <w:sz w:val="22"/>
          <w:szCs w:val="22"/>
          <w:lang w:val="en"/>
        </w:rPr>
        <w:t>teen’s</w:t>
      </w:r>
      <w:proofErr w:type="gramEnd"/>
      <w:r w:rsidRPr="008B0079">
        <w:rPr>
          <w:sz w:val="22"/>
          <w:szCs w:val="22"/>
          <w:lang w:val="en"/>
        </w:rPr>
        <w:t xml:space="preserve"> exposure to gambling promotion, </w:t>
      </w:r>
      <w:r>
        <w:rPr>
          <w:sz w:val="22"/>
          <w:szCs w:val="22"/>
          <w:lang w:val="en"/>
        </w:rPr>
        <w:t>it’s important to have a conversation about</w:t>
      </w:r>
      <w:r w:rsidRPr="008B0079">
        <w:rPr>
          <w:sz w:val="22"/>
          <w:szCs w:val="22"/>
          <w:lang w:val="en"/>
        </w:rPr>
        <w:t>. Even if they don’t completely agree, at least they’ll know where you stand and why it’s important.</w:t>
      </w:r>
    </w:p>
    <w:p w14:paraId="1FCC7E12" w14:textId="77777777" w:rsidR="008B0079" w:rsidRPr="00FF26FE" w:rsidRDefault="008B0079" w:rsidP="008B0079">
      <w:pPr>
        <w:spacing w:before="120"/>
        <w:ind w:left="720"/>
        <w:rPr>
          <w:rFonts w:eastAsia="Times New Roman"/>
          <w:sz w:val="22"/>
          <w:szCs w:val="22"/>
          <w:lang w:val="en"/>
        </w:rPr>
      </w:pPr>
      <w:r w:rsidRPr="00FF26FE">
        <w:rPr>
          <w:rFonts w:eastAsia="Times New Roman"/>
          <w:sz w:val="22"/>
          <w:szCs w:val="22"/>
          <w:lang w:val="en"/>
        </w:rPr>
        <w:t xml:space="preserve">Talking to them sooner rather than later about gambling will give your kids a better chance of understanding the risks involved - including the limited chances of winning - and avoid problems related to gambling in later life. </w:t>
      </w:r>
    </w:p>
    <w:p w14:paraId="030D4BA3" w14:textId="77777777" w:rsidR="008B0079" w:rsidRPr="001616DE" w:rsidRDefault="008B0079" w:rsidP="008B0079">
      <w:pPr>
        <w:spacing w:before="120"/>
        <w:ind w:left="720"/>
        <w:rPr>
          <w:rFonts w:eastAsia="Times New Roman"/>
          <w:sz w:val="22"/>
          <w:szCs w:val="22"/>
          <w:lang w:val="en"/>
        </w:rPr>
      </w:pPr>
      <w:r w:rsidRPr="00FF26FE">
        <w:rPr>
          <w:rFonts w:eastAsia="Times New Roman"/>
          <w:sz w:val="22"/>
          <w:szCs w:val="22"/>
          <w:lang w:val="en"/>
        </w:rPr>
        <w:t>For tips on how to have a conversation with the young person in your life about gambling, visit the ‘Parents and carers’ section of Be Ahead of the Game website:</w:t>
      </w:r>
      <w:r w:rsidRPr="001616DE">
        <w:rPr>
          <w:rFonts w:eastAsia="Times New Roman"/>
          <w:sz w:val="22"/>
          <w:szCs w:val="22"/>
          <w:lang w:val="en"/>
        </w:rPr>
        <w:t xml:space="preserve"> </w:t>
      </w:r>
      <w:hyperlink r:id="rId11" w:history="1">
        <w:r w:rsidRPr="001616DE">
          <w:rPr>
            <w:rStyle w:val="Hyperlink"/>
            <w:rFonts w:eastAsia="Times New Roman" w:cs="Calibri"/>
            <w:sz w:val="22"/>
            <w:szCs w:val="22"/>
            <w:lang w:val="en"/>
          </w:rPr>
          <w:t>beaheadofthegame.vic.gov.au</w:t>
        </w:r>
      </w:hyperlink>
    </w:p>
    <w:p w14:paraId="301B708D" w14:textId="77777777" w:rsidR="008B0079" w:rsidRPr="002D7151" w:rsidRDefault="008B0079" w:rsidP="008B0079">
      <w:pPr>
        <w:shd w:val="clear" w:color="auto" w:fill="FFFFFF"/>
        <w:rPr>
          <w:rFonts w:cs="Calibri"/>
          <w:color w:val="222222"/>
          <w:sz w:val="6"/>
          <w:szCs w:val="6"/>
          <w:lang w:val="en-US"/>
        </w:rPr>
      </w:pPr>
    </w:p>
    <w:p w14:paraId="27B99DE1" w14:textId="77777777" w:rsidR="008B0079" w:rsidRDefault="008B0079" w:rsidP="008B0079">
      <w:pPr>
        <w:shd w:val="clear" w:color="auto" w:fill="FFFFFF"/>
        <w:ind w:left="720"/>
        <w:rPr>
          <w:rFonts w:cs="Calibri"/>
          <w:color w:val="222222"/>
          <w:sz w:val="22"/>
          <w:szCs w:val="22"/>
          <w:lang w:val="en-US"/>
        </w:rPr>
      </w:pPr>
    </w:p>
    <w:p w14:paraId="16EA8440" w14:textId="77777777" w:rsidR="008B0079" w:rsidRPr="002D7151" w:rsidRDefault="008B0079" w:rsidP="008B0079">
      <w:pPr>
        <w:shd w:val="clear" w:color="auto" w:fill="FFFFFF"/>
        <w:ind w:left="720"/>
        <w:rPr>
          <w:rFonts w:cs="Calibri"/>
          <w:color w:val="222222"/>
          <w:sz w:val="22"/>
          <w:szCs w:val="22"/>
          <w:lang w:val="en-US"/>
        </w:rPr>
      </w:pPr>
      <w:r w:rsidRPr="002D7151">
        <w:rPr>
          <w:rFonts w:cs="Calibri"/>
          <w:color w:val="222222"/>
          <w:sz w:val="22"/>
          <w:szCs w:val="22"/>
          <w:lang w:val="en-US"/>
        </w:rPr>
        <w:t>[END]</w:t>
      </w:r>
    </w:p>
    <w:p w14:paraId="3DE057FA" w14:textId="77777777" w:rsidR="002D7151" w:rsidRPr="002D7151" w:rsidRDefault="002D7151" w:rsidP="002D7151">
      <w:pPr>
        <w:shd w:val="clear" w:color="auto" w:fill="FFFFFF"/>
        <w:rPr>
          <w:rFonts w:cs="Calibri"/>
          <w:color w:val="034D81"/>
          <w:sz w:val="20"/>
          <w:szCs w:val="20"/>
        </w:rPr>
      </w:pPr>
    </w:p>
    <w:p w14:paraId="629BEBA8" w14:textId="77777777" w:rsidR="00FF26FE" w:rsidRDefault="00FF26FE" w:rsidP="002D7151">
      <w:pPr>
        <w:shd w:val="clear" w:color="auto" w:fill="FFFFFF"/>
        <w:rPr>
          <w:rFonts w:cs="Calibri"/>
          <w:color w:val="034D81"/>
        </w:rPr>
      </w:pPr>
    </w:p>
    <w:p w14:paraId="12AC8412" w14:textId="77777777" w:rsidR="001B75F9" w:rsidRDefault="001B75F9" w:rsidP="002D7151">
      <w:pPr>
        <w:shd w:val="clear" w:color="auto" w:fill="FFFFFF"/>
        <w:rPr>
          <w:rFonts w:cs="Calibri"/>
          <w:color w:val="034D81"/>
        </w:rPr>
      </w:pPr>
    </w:p>
    <w:p w14:paraId="3B9FDDE7" w14:textId="26BF1D2F" w:rsidR="000C3480" w:rsidRPr="00CC5868" w:rsidRDefault="000C3480" w:rsidP="002D7151">
      <w:pPr>
        <w:shd w:val="clear" w:color="auto" w:fill="FFFFFF"/>
        <w:rPr>
          <w:rFonts w:ascii="Arial" w:hAnsi="Arial" w:cs="Arial"/>
          <w:color w:val="034D81"/>
        </w:rPr>
      </w:pPr>
    </w:p>
    <w:sectPr w:rsidR="000C3480" w:rsidRPr="00CC5868" w:rsidSect="009A7EBC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440" w:right="1440" w:bottom="1440" w:left="1440" w:header="0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D18E8" w14:textId="77777777" w:rsidR="00AD30DF" w:rsidRDefault="00AD30DF" w:rsidP="009A7EBC">
      <w:r>
        <w:separator/>
      </w:r>
    </w:p>
  </w:endnote>
  <w:endnote w:type="continuationSeparator" w:id="0">
    <w:p w14:paraId="1E4D44F9" w14:textId="77777777" w:rsidR="00AD30DF" w:rsidRDefault="00AD30DF" w:rsidP="009A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2D68" w14:textId="77777777" w:rsidR="00226332" w:rsidRDefault="00226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686F" w14:textId="6A97F7CF" w:rsidR="009A7EBC" w:rsidRDefault="00000000" w:rsidP="009A7EBC">
    <w:pPr>
      <w:pStyle w:val="Footer"/>
      <w:ind w:left="-1440"/>
    </w:pPr>
    <w:r>
      <w:rPr>
        <w:noProof/>
      </w:rPr>
      <w:pict w14:anchorId="7737C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Green banner with text: Be Ahead of the Game is a gambling awareness program for young people developed by the Victoria State Government. For more information, visit beaheadofthegame.vic.gov.au." style="width:593.8pt;height:73.55pt;mso-position-horizontal:absolute;mso-position-horizontal-relative:text;mso-position-vertical:absolute;mso-position-vertical-relative:text">
          <v:imagedata r:id="rId1" o:title="3" cropbottom="8952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9959" w14:textId="77777777" w:rsidR="00226332" w:rsidRDefault="00226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5E52" w14:textId="77777777" w:rsidR="00AD30DF" w:rsidRDefault="00AD30DF" w:rsidP="009A7EBC">
      <w:r>
        <w:separator/>
      </w:r>
    </w:p>
  </w:footnote>
  <w:footnote w:type="continuationSeparator" w:id="0">
    <w:p w14:paraId="6A8FB119" w14:textId="77777777" w:rsidR="00AD30DF" w:rsidRDefault="00AD30DF" w:rsidP="009A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31C1" w14:textId="2AB9386F" w:rsidR="00D6499A" w:rsidRDefault="00CC5868" w:rsidP="00615BC6">
    <w:pPr>
      <w:pStyle w:val="Header"/>
      <w:ind w:left="-1418"/>
    </w:pPr>
    <w:r>
      <w:rPr>
        <w:noProof/>
      </w:rPr>
      <w:t xml:space="preserve">                                  </w:t>
    </w:r>
    <w:r w:rsidR="00000000">
      <w:rPr>
        <w:noProof/>
      </w:rPr>
      <w:pict w14:anchorId="6DA61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s for Be Ahead of the Game and Victoria State Government" style="width:590.25pt;height:78.45pt;mso-position-horizontal:absolute;mso-position-horizontal-relative:text;mso-position-vertical:absolute;mso-position-vertical-relative:text">
          <v:imagedata r:id="rId1" o:title="2" croptop="4585f"/>
        </v:shape>
      </w:pict>
    </w:r>
  </w:p>
  <w:p w14:paraId="722296D9" w14:textId="4691FD0A" w:rsidR="00B740CB" w:rsidRDefault="00000000" w:rsidP="00D6499A">
    <w:pPr>
      <w:pStyle w:val="Header"/>
      <w:ind w:left="-1418"/>
    </w:pPr>
    <w:r>
      <w:pict w14:anchorId="18C84247">
        <v:shape id="_x0000_i1026" type="#_x0000_t75" alt="Green banner with white text: Newsletter article" style="width:595pt;height:85.55pt">
          <v:imagedata r:id="rId2" o:title="2"/>
        </v:shape>
      </w:pict>
    </w:r>
  </w:p>
  <w:p w14:paraId="3401E597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55A35D1B">
        <v:shape id="_x0000_i1027" type="#_x0000_t75" style="width:450.7pt;height:637.5pt">
          <v:imagedata r:id="rId3" o:title=""/>
        </v:shape>
      </w:pict>
    </w:r>
  </w:p>
  <w:p w14:paraId="47D194EB" w14:textId="77777777" w:rsidR="004137CA" w:rsidRDefault="00000000" w:rsidP="009A7EBC">
    <w:pPr>
      <w:pStyle w:val="Header"/>
      <w:ind w:left="-1418"/>
      <w:rPr>
        <w:noProof/>
      </w:rPr>
    </w:pPr>
    <w:r>
      <w:rPr>
        <w:noProof/>
      </w:rPr>
      <w:pict w14:anchorId="6B68F1F6">
        <v:shape id="_x0000_i1028" type="#_x0000_t75" style="width:450.7pt;height:637.5pt">
          <v:imagedata r:id="rId3" o:title=""/>
        </v:shape>
      </w:pict>
    </w:r>
  </w:p>
  <w:p w14:paraId="4E4AC4A7" w14:textId="77777777" w:rsidR="004137CA" w:rsidRDefault="00000000" w:rsidP="009A7EBC">
    <w:pPr>
      <w:pStyle w:val="Header"/>
      <w:ind w:left="-1418"/>
    </w:pPr>
    <w:r>
      <w:pict w14:anchorId="341764F3">
        <v:shape id="_x0000_i1029" type="#_x0000_t75" style="width:450.7pt;height:637.5pt">
          <v:imagedata r:id="rId3" o:title=""/>
        </v:shape>
      </w:pict>
    </w:r>
    <w:r>
      <w:pict w14:anchorId="00889E6A">
        <v:shape id="_x0000_i1030" type="#_x0000_t75" style="width:450.7pt;height:637.5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72AA"/>
    <w:multiLevelType w:val="hybridMultilevel"/>
    <w:tmpl w:val="6B261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B1A28"/>
    <w:multiLevelType w:val="multilevel"/>
    <w:tmpl w:val="36D4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C25C96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A203EA"/>
    <w:multiLevelType w:val="hybridMultilevel"/>
    <w:tmpl w:val="B810DC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099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39D4AA2"/>
    <w:multiLevelType w:val="multilevel"/>
    <w:tmpl w:val="C5086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0D14C1"/>
    <w:multiLevelType w:val="hybridMultilevel"/>
    <w:tmpl w:val="C2ACE22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5D80514"/>
    <w:multiLevelType w:val="multilevel"/>
    <w:tmpl w:val="E3105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5229E1"/>
    <w:multiLevelType w:val="hybridMultilevel"/>
    <w:tmpl w:val="AB64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56E34"/>
    <w:multiLevelType w:val="hybridMultilevel"/>
    <w:tmpl w:val="0EAC1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56502"/>
    <w:multiLevelType w:val="hybridMultilevel"/>
    <w:tmpl w:val="8BEED4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83FAA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0DA205D"/>
    <w:multiLevelType w:val="multilevel"/>
    <w:tmpl w:val="2F44B1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C00C6C"/>
    <w:multiLevelType w:val="multilevel"/>
    <w:tmpl w:val="1F9C1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Aptos" w:hAnsi="Aptos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09896189">
    <w:abstractNumId w:val="6"/>
  </w:num>
  <w:num w:numId="2" w16cid:durableId="655648988">
    <w:abstractNumId w:val="9"/>
  </w:num>
  <w:num w:numId="3" w16cid:durableId="124811651">
    <w:abstractNumId w:val="11"/>
  </w:num>
  <w:num w:numId="4" w16cid:durableId="1636180722">
    <w:abstractNumId w:val="12"/>
  </w:num>
  <w:num w:numId="5" w16cid:durableId="1469278575">
    <w:abstractNumId w:val="4"/>
  </w:num>
  <w:num w:numId="6" w16cid:durableId="378020392">
    <w:abstractNumId w:val="7"/>
  </w:num>
  <w:num w:numId="7" w16cid:durableId="250045881">
    <w:abstractNumId w:val="2"/>
  </w:num>
  <w:num w:numId="8" w16cid:durableId="797918150">
    <w:abstractNumId w:val="1"/>
  </w:num>
  <w:num w:numId="9" w16cid:durableId="1079016921">
    <w:abstractNumId w:val="13"/>
  </w:num>
  <w:num w:numId="10" w16cid:durableId="1286276387">
    <w:abstractNumId w:val="5"/>
  </w:num>
  <w:num w:numId="11" w16cid:durableId="1182818535">
    <w:abstractNumId w:val="0"/>
  </w:num>
  <w:num w:numId="12" w16cid:durableId="1262300366">
    <w:abstractNumId w:val="8"/>
  </w:num>
  <w:num w:numId="13" w16cid:durableId="189270458">
    <w:abstractNumId w:val="3"/>
  </w:num>
  <w:num w:numId="14" w16cid:durableId="1243368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7EBC"/>
    <w:rsid w:val="00073C9A"/>
    <w:rsid w:val="000A36CE"/>
    <w:rsid w:val="000C3480"/>
    <w:rsid w:val="000C648A"/>
    <w:rsid w:val="00107CFD"/>
    <w:rsid w:val="00125C3B"/>
    <w:rsid w:val="00144035"/>
    <w:rsid w:val="001B75F9"/>
    <w:rsid w:val="00226332"/>
    <w:rsid w:val="00233FFE"/>
    <w:rsid w:val="00246327"/>
    <w:rsid w:val="00264455"/>
    <w:rsid w:val="00270185"/>
    <w:rsid w:val="0028535D"/>
    <w:rsid w:val="002D7151"/>
    <w:rsid w:val="00307020"/>
    <w:rsid w:val="00327A0B"/>
    <w:rsid w:val="004137CA"/>
    <w:rsid w:val="004229CD"/>
    <w:rsid w:val="0043754A"/>
    <w:rsid w:val="00461D96"/>
    <w:rsid w:val="00480992"/>
    <w:rsid w:val="004D514C"/>
    <w:rsid w:val="005357FD"/>
    <w:rsid w:val="005B0E8E"/>
    <w:rsid w:val="00615BC6"/>
    <w:rsid w:val="00616E3E"/>
    <w:rsid w:val="006A28F5"/>
    <w:rsid w:val="006A597D"/>
    <w:rsid w:val="006D49D1"/>
    <w:rsid w:val="006D7A9A"/>
    <w:rsid w:val="007539AC"/>
    <w:rsid w:val="00776B96"/>
    <w:rsid w:val="007C5E51"/>
    <w:rsid w:val="00811466"/>
    <w:rsid w:val="008818AB"/>
    <w:rsid w:val="00886169"/>
    <w:rsid w:val="008B0079"/>
    <w:rsid w:val="008C2192"/>
    <w:rsid w:val="008C61EF"/>
    <w:rsid w:val="008D5F59"/>
    <w:rsid w:val="00923999"/>
    <w:rsid w:val="0096701A"/>
    <w:rsid w:val="009A7EBC"/>
    <w:rsid w:val="00A85520"/>
    <w:rsid w:val="00AA319C"/>
    <w:rsid w:val="00AA6059"/>
    <w:rsid w:val="00AD30DF"/>
    <w:rsid w:val="00B70305"/>
    <w:rsid w:val="00B740CB"/>
    <w:rsid w:val="00BE510F"/>
    <w:rsid w:val="00C4463C"/>
    <w:rsid w:val="00CC201D"/>
    <w:rsid w:val="00CC5868"/>
    <w:rsid w:val="00CF7EFC"/>
    <w:rsid w:val="00D34747"/>
    <w:rsid w:val="00D62DAF"/>
    <w:rsid w:val="00D6499A"/>
    <w:rsid w:val="00E15EB7"/>
    <w:rsid w:val="00E30D3A"/>
    <w:rsid w:val="00FF26FE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692FD"/>
  <w15:chartTrackingRefBased/>
  <w15:docId w15:val="{181C6157-785D-4E1B-A2BF-A75DA76C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A0B"/>
    <w:pPr>
      <w:keepNext/>
      <w:spacing w:before="240" w:after="60"/>
      <w:outlineLvl w:val="0"/>
    </w:pPr>
    <w:rPr>
      <w:rFonts w:ascii="Aptos Display" w:eastAsia="Times New Roman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A0B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1pagenumbersVRGF">
    <w:name w:val="TOC 1_page numbers_VRGF"/>
    <w:basedOn w:val="TOC1"/>
    <w:autoRedefine/>
    <w:qFormat/>
    <w:rsid w:val="00107CFD"/>
    <w:pPr>
      <w:tabs>
        <w:tab w:val="right" w:leader="dot" w:pos="10790"/>
      </w:tabs>
      <w:spacing w:before="120" w:after="0"/>
    </w:pPr>
    <w:rPr>
      <w:rFonts w:ascii="Calibri Light" w:eastAsia="Times New Roman" w:hAnsi="Calibri Light" w:cs="Calibri Light"/>
      <w:b/>
      <w:bCs/>
      <w:iCs/>
      <w:noProof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7CF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EBC"/>
  </w:style>
  <w:style w:type="paragraph" w:styleId="Footer">
    <w:name w:val="footer"/>
    <w:basedOn w:val="Normal"/>
    <w:link w:val="FooterChar"/>
    <w:uiPriority w:val="99"/>
    <w:unhideWhenUsed/>
    <w:rsid w:val="009A7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EBC"/>
  </w:style>
  <w:style w:type="paragraph" w:styleId="ListParagraph">
    <w:name w:val="List Paragraph"/>
    <w:basedOn w:val="Normal"/>
    <w:uiPriority w:val="34"/>
    <w:qFormat/>
    <w:rsid w:val="000C3480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8C61EF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F7EFC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CF7EF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4463C"/>
    <w:rPr>
      <w:color w:val="96607D"/>
      <w:u w:val="single"/>
    </w:rPr>
  </w:style>
  <w:style w:type="character" w:customStyle="1" w:styleId="Heading1Char">
    <w:name w:val="Heading 1 Char"/>
    <w:link w:val="Heading1"/>
    <w:uiPriority w:val="9"/>
    <w:rsid w:val="00327A0B"/>
    <w:rPr>
      <w:rFonts w:ascii="Aptos Display" w:eastAsia="Times New Roman" w:hAnsi="Aptos Display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327A0B"/>
    <w:rPr>
      <w:rFonts w:eastAsia="Times New Roman" w:cs="Times New Roman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aheadofthegame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67805AD127A4C891525FB74F01F75" ma:contentTypeVersion="11" ma:contentTypeDescription="Create a new document." ma:contentTypeScope="" ma:versionID="cc0227bc6700ada0de671774a32800c3">
  <xsd:schema xmlns:xsd="http://www.w3.org/2001/XMLSchema" xmlns:xs="http://www.w3.org/2001/XMLSchema" xmlns:p="http://schemas.microsoft.com/office/2006/metadata/properties" xmlns:ns2="eb8175da-692f-4ffd-8d30-578a731ab18f" targetNamespace="http://schemas.microsoft.com/office/2006/metadata/properties" ma:root="true" ma:fieldsID="53261941bdddc5f8a44e30b8423c87b8" ns2:_="">
    <xsd:import namespace="eb8175da-692f-4ffd-8d30-578a731ab1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175da-692f-4ffd-8d30-578a731ab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175da-692f-4ffd-8d30-578a731ab1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A4F35C-9F6D-45BE-9A49-22A38EC62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175da-692f-4ffd-8d30-578a731ab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68348-6F86-4356-A29E-73A1676AA30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EDCB25-9BE2-4597-83AD-06E4B4ED6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932B8-8E8C-4CDF-8248-8DB7D5458066}">
  <ds:schemaRefs>
    <ds:schemaRef ds:uri="http://schemas.microsoft.com/office/2006/metadata/properties"/>
    <ds:schemaRef ds:uri="http://schemas.microsoft.com/office/infopath/2007/PartnerControls"/>
    <ds:schemaRef ds:uri="eb8175da-692f-4ffd-8d30-578a731ab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1357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Links>
    <vt:vector size="6" baseType="variant">
      <vt:variant>
        <vt:i4>7340067</vt:i4>
      </vt:variant>
      <vt:variant>
        <vt:i4>0</vt:i4>
      </vt:variant>
      <vt:variant>
        <vt:i4>0</vt:i4>
      </vt:variant>
      <vt:variant>
        <vt:i4>5</vt:i4>
      </vt:variant>
      <vt:variant>
        <vt:lpwstr>http://www.beaheadofthegame.vic.gov.au/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Suwanit Downing (DJCS)</dc:creator>
  <cp:keywords/>
  <dc:description/>
  <cp:lastModifiedBy>Andrea Hince (Health)</cp:lastModifiedBy>
  <cp:revision>4</cp:revision>
  <cp:lastPrinted>2026-03-03T04:51:00Z</cp:lastPrinted>
  <dcterms:created xsi:type="dcterms:W3CDTF">2025-12-15T03:50:00Z</dcterms:created>
  <dcterms:modified xsi:type="dcterms:W3CDTF">2026-03-03T04:51:00Z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Andrea Hince (DJCS);Michael Swift (DJCS);Mark Riddiford (DJCS)</vt:lpwstr>
  </property>
  <property fmtid="{D5CDD505-2E9C-101B-9397-08002B2CF9AE}" pid="3" name="SharedWithUsers">
    <vt:lpwstr>134;#Andrea Hince (DJCS);#501;#Michael Swift (DJCS);#55;#Mark Riddiford (DJCS)</vt:lpwstr>
  </property>
  <property fmtid="{D5CDD505-2E9C-101B-9397-08002B2CF9AE}" pid="4" name="_dlc_DocId">
    <vt:lpwstr>COMMS-1853127015-34782</vt:lpwstr>
  </property>
  <property fmtid="{D5CDD505-2E9C-101B-9397-08002B2CF9AE}" pid="5" name="_dlc_DocIdItemGuid">
    <vt:lpwstr>f72005d5-f6bc-4591-b122-c381a47615cb</vt:lpwstr>
  </property>
  <property fmtid="{D5CDD505-2E9C-101B-9397-08002B2CF9AE}" pid="6" name="_dlc_DocIdUrl">
    <vt:lpwstr>https://dhhsvicgovau.sharepoint.com/sites/GHPR-Comms-GRP/_layouts/15/DocIdRedir.aspx?ID=COMMS-1853127015-34782, COMMS-1853127015-34782</vt:lpwstr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2025-12-15T03:50:31Z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c907ed0e-b039-4e78-a7d9-4c6118e1e9e6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MSIP_Label_43e64453-338c-4f93-8a4d-0039a0a41f2a_Tag">
    <vt:lpwstr>10, 0, 1, 1</vt:lpwstr>
  </property>
  <property fmtid="{D5CDD505-2E9C-101B-9397-08002B2CF9AE}" pid="17" name="ContentTypeId">
    <vt:lpwstr>0x010100DCE67805AD127A4C891525FB74F01F75</vt:lpwstr>
  </property>
</Properties>
</file>