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AF29" w14:textId="1B2789A3" w:rsidR="003E6429" w:rsidRDefault="001C3317">
      <w:r>
        <w:rPr>
          <w:noProof/>
        </w:rPr>
        <w:drawing>
          <wp:inline distT="0" distB="0" distL="0" distR="0" wp14:anchorId="3CD3EBD1" wp14:editId="4EE289DA">
            <wp:extent cx="2762250" cy="703398"/>
            <wp:effectExtent l="0" t="0" r="0" b="1905"/>
            <wp:docPr id="1601890906" name="Picture 2" descr="Be Ahead of the Game logo and Victoria State Government logo in gre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90906" name="Picture 2" descr="Be Ahead of the Game logo and Victoria State Government logo in green.">
                      <a:extLst>
                        <a:ext uri="{C183D7F6-B498-43B3-948B-1728B52AA6E4}">
                          <adec:decorative xmlns:adec="http://schemas.microsoft.com/office/drawing/2017/decorative" val="0"/>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67" t="22868" r="167" b="24031"/>
                    <a:stretch>
                      <a:fillRect/>
                    </a:stretch>
                  </pic:blipFill>
                  <pic:spPr bwMode="auto">
                    <a:xfrm>
                      <a:off x="0" y="0"/>
                      <a:ext cx="2784200" cy="708988"/>
                    </a:xfrm>
                    <a:prstGeom prst="rect">
                      <a:avLst/>
                    </a:prstGeom>
                    <a:noFill/>
                    <a:ln>
                      <a:noFill/>
                    </a:ln>
                    <a:extLst>
                      <a:ext uri="{53640926-AAD7-44D8-BBD7-CCE9431645EC}">
                        <a14:shadowObscured xmlns:a14="http://schemas.microsoft.com/office/drawing/2010/main"/>
                      </a:ext>
                    </a:extLst>
                  </pic:spPr>
                </pic:pic>
              </a:graphicData>
            </a:graphic>
          </wp:inline>
        </w:drawing>
      </w:r>
    </w:p>
    <w:p w14:paraId="3E125424" w14:textId="466A3FE2" w:rsidR="001C3317" w:rsidRDefault="00BD3C56" w:rsidP="00936818">
      <w:pPr>
        <w:pStyle w:val="Title"/>
      </w:pPr>
      <w:r>
        <w:t xml:space="preserve">Information for </w:t>
      </w:r>
      <w:r w:rsidR="0027397C">
        <w:t>young people</w:t>
      </w:r>
    </w:p>
    <w:p w14:paraId="632B9A2D" w14:textId="3DB92424" w:rsidR="006D42CE" w:rsidRDefault="0027397C" w:rsidP="007A4AD3">
      <w:pPr>
        <w:pStyle w:val="Heading1"/>
        <w:spacing w:before="120"/>
      </w:pPr>
      <w:r>
        <w:rPr>
          <w:noProof/>
        </w:rPr>
        <w:drawing>
          <wp:inline distT="0" distB="0" distL="0" distR="0" wp14:anchorId="59BB7E26" wp14:editId="38FFE8B6">
            <wp:extent cx="5638800" cy="2114706"/>
            <wp:effectExtent l="0" t="0" r="0" b="0"/>
            <wp:docPr id="1949510411" name="Picture 3" descr="A collage of diverse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ollage of diverse stud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3624" cy="2116515"/>
                    </a:xfrm>
                    <a:prstGeom prst="rect">
                      <a:avLst/>
                    </a:prstGeom>
                    <a:noFill/>
                    <a:ln>
                      <a:noFill/>
                    </a:ln>
                  </pic:spPr>
                </pic:pic>
              </a:graphicData>
            </a:graphic>
          </wp:inline>
        </w:drawing>
      </w:r>
    </w:p>
    <w:p w14:paraId="02ECB34E" w14:textId="77777777" w:rsidR="0027397C" w:rsidRPr="0027397C" w:rsidRDefault="0027397C" w:rsidP="0027397C">
      <w:pPr>
        <w:pStyle w:val="Heading1"/>
      </w:pPr>
      <w:r w:rsidRPr="0027397C">
        <w:t>What is gambling?</w:t>
      </w:r>
    </w:p>
    <w:p w14:paraId="4DA76A10" w14:textId="77777777" w:rsidR="0027397C" w:rsidRPr="0027397C" w:rsidRDefault="0027397C" w:rsidP="0027397C">
      <w:pPr>
        <w:pStyle w:val="ListParagraph"/>
        <w:numPr>
          <w:ilvl w:val="0"/>
          <w:numId w:val="17"/>
        </w:numPr>
      </w:pPr>
      <w:r w:rsidRPr="0027397C">
        <w:t>Gambling is </w:t>
      </w:r>
      <w:r w:rsidRPr="0027397C">
        <w:rPr>
          <w:b/>
          <w:bCs/>
        </w:rPr>
        <w:t>risking</w:t>
      </w:r>
      <w:r w:rsidRPr="0027397C">
        <w:t> anything of value (usually money) on the outcome of an event involving </w:t>
      </w:r>
      <w:r w:rsidRPr="0027397C">
        <w:rPr>
          <w:b/>
          <w:bCs/>
        </w:rPr>
        <w:t>chance</w:t>
      </w:r>
      <w:r w:rsidRPr="0027397C">
        <w:t> when the probability of winning or losing is </w:t>
      </w:r>
      <w:r w:rsidRPr="0027397C">
        <w:rPr>
          <w:b/>
          <w:bCs/>
        </w:rPr>
        <w:t>uncertain</w:t>
      </w:r>
      <w:r w:rsidRPr="0027397C">
        <w:t>.</w:t>
      </w:r>
    </w:p>
    <w:p w14:paraId="2A9CC088" w14:textId="77777777" w:rsidR="0027397C" w:rsidRPr="0027397C" w:rsidRDefault="0027397C" w:rsidP="0027397C">
      <w:pPr>
        <w:pStyle w:val="ListParagraph"/>
        <w:numPr>
          <w:ilvl w:val="0"/>
          <w:numId w:val="17"/>
        </w:numPr>
      </w:pPr>
      <w:r w:rsidRPr="0027397C">
        <w:t>There is always </w:t>
      </w:r>
      <w:r w:rsidRPr="0027397C">
        <w:rPr>
          <w:b/>
          <w:bCs/>
        </w:rPr>
        <w:t>uncertainty</w:t>
      </w:r>
      <w:r w:rsidRPr="0027397C">
        <w:t> when you gamble. The outcome is out of your control, and you can never be sure you will win.</w:t>
      </w:r>
    </w:p>
    <w:p w14:paraId="5A92EE48" w14:textId="77777777" w:rsidR="0027397C" w:rsidRPr="0027397C" w:rsidRDefault="0027397C" w:rsidP="0027397C">
      <w:pPr>
        <w:pStyle w:val="ListParagraph"/>
        <w:numPr>
          <w:ilvl w:val="0"/>
          <w:numId w:val="17"/>
        </w:numPr>
      </w:pPr>
      <w:r w:rsidRPr="0027397C">
        <w:t>In Australia, gambling is </w:t>
      </w:r>
      <w:r w:rsidRPr="0027397C">
        <w:rPr>
          <w:b/>
          <w:bCs/>
        </w:rPr>
        <w:t>illegal for people under 18-years-of-age</w:t>
      </w:r>
      <w:r w:rsidRPr="0027397C">
        <w:t>.</w:t>
      </w:r>
    </w:p>
    <w:p w14:paraId="51CC27EE" w14:textId="77777777" w:rsidR="0027397C" w:rsidRPr="0027397C" w:rsidRDefault="0027397C" w:rsidP="0027397C">
      <w:pPr>
        <w:pStyle w:val="ListParagraph"/>
        <w:numPr>
          <w:ilvl w:val="0"/>
          <w:numId w:val="17"/>
        </w:numPr>
      </w:pPr>
      <w:r w:rsidRPr="0027397C">
        <w:t>Many gambling products are </w:t>
      </w:r>
      <w:r w:rsidRPr="0027397C">
        <w:rPr>
          <w:b/>
          <w:bCs/>
        </w:rPr>
        <w:t>designed to keep people gambling</w:t>
      </w:r>
      <w:r w:rsidRPr="0027397C">
        <w:t> and </w:t>
      </w:r>
      <w:r w:rsidRPr="0027397C">
        <w:rPr>
          <w:b/>
          <w:bCs/>
        </w:rPr>
        <w:t>lose more than they win</w:t>
      </w:r>
      <w:r w:rsidRPr="0027397C">
        <w:t>.</w:t>
      </w:r>
    </w:p>
    <w:p w14:paraId="2A183B4C" w14:textId="77777777" w:rsidR="0027397C" w:rsidRPr="0027397C" w:rsidRDefault="0027397C" w:rsidP="0027397C">
      <w:pPr>
        <w:pStyle w:val="Heading1"/>
      </w:pPr>
      <w:r w:rsidRPr="0027397C">
        <w:t>What gambling really costs</w:t>
      </w:r>
    </w:p>
    <w:p w14:paraId="424E873B" w14:textId="77777777" w:rsidR="003C0E37" w:rsidRDefault="003C0E37" w:rsidP="003C0E37">
      <w:pPr>
        <w:pStyle w:val="ListParagraph"/>
        <w:numPr>
          <w:ilvl w:val="0"/>
          <w:numId w:val="21"/>
        </w:numPr>
      </w:pPr>
      <w:r>
        <w:t>Australians lose the most in the world per adult on legal forms of gambling: $32 billion in 2023/24.</w:t>
      </w:r>
    </w:p>
    <w:p w14:paraId="59A6BEBE" w14:textId="79E0E082" w:rsidR="003C0E37" w:rsidRDefault="003C0E37" w:rsidP="003C0E37">
      <w:pPr>
        <w:pStyle w:val="ListParagraph"/>
        <w:numPr>
          <w:ilvl w:val="0"/>
          <w:numId w:val="21"/>
        </w:numPr>
      </w:pPr>
      <w:r>
        <w:t xml:space="preserve">On average, Victorian adults lost $1,357 each </w:t>
      </w:r>
      <w:r w:rsidR="008B13B2">
        <w:t xml:space="preserve">to gambling </w:t>
      </w:r>
      <w:r>
        <w:t>in 2023/24.</w:t>
      </w:r>
    </w:p>
    <w:p w14:paraId="6CF076D5" w14:textId="74870A6B" w:rsidR="003C0E37" w:rsidRDefault="003C0E37" w:rsidP="003C0E37">
      <w:pPr>
        <w:pStyle w:val="ListParagraph"/>
        <w:numPr>
          <w:ilvl w:val="0"/>
          <w:numId w:val="21"/>
        </w:numPr>
      </w:pPr>
      <w:r>
        <w:t>Victorians lost $7.39 billion to gambling in 2024/25.</w:t>
      </w:r>
    </w:p>
    <w:p w14:paraId="600BB43A" w14:textId="77777777" w:rsidR="003C0E37" w:rsidRDefault="003C0E37" w:rsidP="003C0E37">
      <w:pPr>
        <w:pStyle w:val="ListParagraph"/>
        <w:numPr>
          <w:ilvl w:val="0"/>
          <w:numId w:val="21"/>
        </w:numPr>
      </w:pPr>
      <w:r>
        <w:t>Victorians lost $3.15 billion on electronic gaming machines (pokies) at hotels and clubs in 2024/25.</w:t>
      </w:r>
    </w:p>
    <w:p w14:paraId="3137B64B" w14:textId="77777777" w:rsidR="003C0E37" w:rsidRDefault="003C0E37" w:rsidP="003C0E37">
      <w:pPr>
        <w:pStyle w:val="ListParagraph"/>
        <w:numPr>
          <w:ilvl w:val="0"/>
          <w:numId w:val="21"/>
        </w:numPr>
      </w:pPr>
      <w:r>
        <w:t>Total number of pokies machines in Victorian hotels and clubs: 26,258 (at 30 June 2025).</w:t>
      </w:r>
    </w:p>
    <w:p w14:paraId="5D0FBC83" w14:textId="43EE8A2D" w:rsidR="0027397C" w:rsidRPr="0027397C" w:rsidRDefault="0027397C" w:rsidP="003C0E37">
      <w:r w:rsidRPr="0027397C">
        <w:rPr>
          <w:b/>
          <w:bCs/>
        </w:rPr>
        <w:t>Source</w:t>
      </w:r>
      <w:r w:rsidRPr="0027397C">
        <w:t> | Victorian Gambling and Casino Control Commission, </w:t>
      </w:r>
      <w:hyperlink r:id="rId13" w:history="1">
        <w:r w:rsidRPr="0027397C">
          <w:rPr>
            <w:rStyle w:val="Hyperlink"/>
          </w:rPr>
          <w:t>Gambling data.</w:t>
        </w:r>
      </w:hyperlink>
    </w:p>
    <w:p w14:paraId="3FBFD25E" w14:textId="77777777" w:rsidR="0027397C" w:rsidRPr="0027397C" w:rsidRDefault="0027397C" w:rsidP="0027397C">
      <w:pPr>
        <w:pStyle w:val="Heading1"/>
      </w:pPr>
      <w:r w:rsidRPr="0027397C">
        <w:lastRenderedPageBreak/>
        <w:t>What’s the big deal?</w:t>
      </w:r>
    </w:p>
    <w:p w14:paraId="3CF645C0" w14:textId="77777777" w:rsidR="0027397C" w:rsidRPr="0027397C" w:rsidRDefault="0027397C" w:rsidP="0027397C">
      <w:r w:rsidRPr="0027397C">
        <w:t>Many people gamble without any issues. However, for some people gambling has the potential to cause significant psychological, health, relationship, legal and financial harm both to the person who gambles and the people around them.</w:t>
      </w:r>
    </w:p>
    <w:p w14:paraId="4EDEBC47" w14:textId="77777777" w:rsidR="0027397C" w:rsidRPr="0027397C" w:rsidRDefault="0027397C" w:rsidP="0027397C">
      <w:r w:rsidRPr="0027397C">
        <w:t>While gambling may seem like a normal and harmless activity, it is important to remember that it is </w:t>
      </w:r>
      <w:r w:rsidRPr="0027397C">
        <w:rPr>
          <w:i/>
          <w:iCs/>
        </w:rPr>
        <w:t>designed</w:t>
      </w:r>
      <w:r w:rsidRPr="0027397C">
        <w:t> for you to lose more than you win.</w:t>
      </w:r>
    </w:p>
    <w:p w14:paraId="51E9CE5A" w14:textId="3B8794DC" w:rsidR="0027397C" w:rsidRPr="00172DDE" w:rsidRDefault="00172DDE" w:rsidP="0027397C">
      <w:r>
        <w:t xml:space="preserve">LEARN MORE: </w:t>
      </w:r>
      <w:hyperlink r:id="rId14" w:history="1">
        <w:r>
          <w:rPr>
            <w:rStyle w:val="Hyperlink"/>
          </w:rPr>
          <w:t xml:space="preserve">What is </w:t>
        </w:r>
        <w:r w:rsidR="0027397C" w:rsidRPr="00172DDE">
          <w:rPr>
            <w:rStyle w:val="Hyperlink"/>
          </w:rPr>
          <w:t>gambling har</w:t>
        </w:r>
        <w:r>
          <w:rPr>
            <w:rStyle w:val="Hyperlink"/>
          </w:rPr>
          <w:t>m?</w:t>
        </w:r>
      </w:hyperlink>
    </w:p>
    <w:p w14:paraId="119E3561" w14:textId="77777777" w:rsidR="0027397C" w:rsidRPr="0027397C" w:rsidRDefault="0027397C" w:rsidP="0027397C">
      <w:pPr>
        <w:pStyle w:val="Heading1"/>
      </w:pPr>
      <w:r w:rsidRPr="0027397C">
        <w:t>The issue with gambling ads</w:t>
      </w:r>
    </w:p>
    <w:p w14:paraId="7D72862D" w14:textId="58C2AD5B" w:rsidR="0027397C" w:rsidRPr="0027397C" w:rsidRDefault="0027397C" w:rsidP="0027397C">
      <w:r w:rsidRPr="0027397C">
        <w:t>Unless you live under a rock, chances are you’ve seen a few gambling ads. In fact, the gambling industry in Australia spent </w:t>
      </w:r>
      <w:r w:rsidRPr="0027397C">
        <w:rPr>
          <w:b/>
          <w:bCs/>
        </w:rPr>
        <w:t>$171 million</w:t>
      </w:r>
      <w:r w:rsidRPr="0027397C">
        <w:t> advertising their brands across all media platforms in 2025.</w:t>
      </w:r>
      <w:r w:rsidR="00172DDE">
        <w:rPr>
          <w:rStyle w:val="EndnoteReference"/>
        </w:rPr>
        <w:endnoteReference w:id="1"/>
      </w:r>
    </w:p>
    <w:p w14:paraId="2D92788A" w14:textId="77777777" w:rsidR="0027397C" w:rsidRPr="0027397C" w:rsidRDefault="0027397C" w:rsidP="0027397C">
      <w:r w:rsidRPr="0027397C">
        <w:t>Next time you see a gambling ad, take notice of whether it:</w:t>
      </w:r>
    </w:p>
    <w:p w14:paraId="67271A46" w14:textId="77777777" w:rsidR="0027397C" w:rsidRPr="0027397C" w:rsidRDefault="0027397C" w:rsidP="0027397C">
      <w:pPr>
        <w:pStyle w:val="ListParagraph"/>
        <w:numPr>
          <w:ilvl w:val="0"/>
          <w:numId w:val="19"/>
        </w:numPr>
      </w:pPr>
      <w:r w:rsidRPr="0027397C">
        <w:t>only shows people winning</w:t>
      </w:r>
    </w:p>
    <w:p w14:paraId="6227EEF5" w14:textId="77777777" w:rsidR="0027397C" w:rsidRPr="0027397C" w:rsidRDefault="0027397C" w:rsidP="0027397C">
      <w:pPr>
        <w:pStyle w:val="ListParagraph"/>
        <w:numPr>
          <w:ilvl w:val="0"/>
          <w:numId w:val="19"/>
        </w:numPr>
      </w:pPr>
      <w:r w:rsidRPr="0027397C">
        <w:t>uses celebrities or influencers to appeal to young people</w:t>
      </w:r>
    </w:p>
    <w:p w14:paraId="31070CB0" w14:textId="77777777" w:rsidR="0027397C" w:rsidRPr="0027397C" w:rsidRDefault="0027397C" w:rsidP="0027397C">
      <w:pPr>
        <w:pStyle w:val="ListParagraph"/>
        <w:numPr>
          <w:ilvl w:val="0"/>
          <w:numId w:val="19"/>
        </w:numPr>
      </w:pPr>
      <w:r w:rsidRPr="0027397C">
        <w:t>makes gambling seem like a fun activity to do with friends</w:t>
      </w:r>
    </w:p>
    <w:p w14:paraId="767E940D" w14:textId="77777777" w:rsidR="0027397C" w:rsidRPr="0027397C" w:rsidRDefault="0027397C" w:rsidP="0027397C">
      <w:pPr>
        <w:pStyle w:val="ListParagraph"/>
        <w:numPr>
          <w:ilvl w:val="0"/>
          <w:numId w:val="19"/>
        </w:numPr>
      </w:pPr>
      <w:r w:rsidRPr="0027397C">
        <w:t>offers ‘free bets’ and ‘cash backs’ to make it seem like winning is guaranteed.</w:t>
      </w:r>
    </w:p>
    <w:p w14:paraId="0DF18DB7" w14:textId="45A619FB" w:rsidR="0027397C" w:rsidRPr="0027397C" w:rsidRDefault="0027397C" w:rsidP="0027397C">
      <w:pPr>
        <w:pStyle w:val="ListParagraph"/>
        <w:numPr>
          <w:ilvl w:val="0"/>
          <w:numId w:val="19"/>
        </w:numPr>
      </w:pPr>
      <w:r w:rsidRPr="0027397C">
        <w:t>These advertising tactics can prime you to believe that gambling is a risk-free and guaranteed way to make money. In reality, you are more likely to lose money.</w:t>
      </w:r>
    </w:p>
    <w:p w14:paraId="6625976F" w14:textId="77777777" w:rsidR="0027397C" w:rsidRPr="0027397C" w:rsidRDefault="0027397C" w:rsidP="00172DDE">
      <w:pPr>
        <w:pStyle w:val="Heading1"/>
      </w:pPr>
      <w:r w:rsidRPr="0027397C">
        <w:t>How gambling affects the brain</w:t>
      </w:r>
    </w:p>
    <w:p w14:paraId="4B2F797B" w14:textId="77777777" w:rsidR="0027397C" w:rsidRPr="0027397C" w:rsidRDefault="0027397C" w:rsidP="00172DDE">
      <w:r w:rsidRPr="0027397C">
        <w:t>When people have a gambling win, the brain releases a feel-good chemical called dopamine.</w:t>
      </w:r>
    </w:p>
    <w:p w14:paraId="77543CB2" w14:textId="77777777" w:rsidR="0027397C" w:rsidRPr="0027397C" w:rsidRDefault="0027397C" w:rsidP="00172DDE">
      <w:r w:rsidRPr="0027397C">
        <w:t>But when people gamble often, their brains gets used to the dopamine, which can make that 'winning feeling' difficult to achieve. As a result, some people may gamble more and more to feel the same level of pleasure they did when they first started gambling.</w:t>
      </w:r>
    </w:p>
    <w:p w14:paraId="75A970C5" w14:textId="77777777" w:rsidR="0027397C" w:rsidRPr="0027397C" w:rsidRDefault="0027397C" w:rsidP="00172DDE">
      <w:r w:rsidRPr="0027397C">
        <w:t>Some gambling products, like electronic gaming machines (pokies), make people feel like they’re winning, even when they’re not. This encourages people to </w:t>
      </w:r>
      <w:r w:rsidRPr="0027397C">
        <w:rPr>
          <w:i/>
          <w:iCs/>
        </w:rPr>
        <w:t>keep gambling</w:t>
      </w:r>
      <w:r w:rsidRPr="0027397C">
        <w:t> to try to recapture that winning feeling – and that’s when gambling can become a problem.</w:t>
      </w:r>
    </w:p>
    <w:p w14:paraId="00583C5E" w14:textId="77777777" w:rsidR="0027397C" w:rsidRPr="0027397C" w:rsidRDefault="0027397C" w:rsidP="00172DDE">
      <w:r w:rsidRPr="0027397C">
        <w:t>LEARN MORE: </w:t>
      </w:r>
      <w:hyperlink r:id="rId15" w:history="1">
        <w:r w:rsidRPr="0027397C">
          <w:rPr>
            <w:rStyle w:val="Hyperlink"/>
          </w:rPr>
          <w:t>How gambling affects the brain</w:t>
        </w:r>
      </w:hyperlink>
    </w:p>
    <w:p w14:paraId="5FC93A91" w14:textId="77777777" w:rsidR="0027397C" w:rsidRPr="0027397C" w:rsidRDefault="0027397C" w:rsidP="00172DDE">
      <w:pPr>
        <w:pStyle w:val="Heading1"/>
      </w:pPr>
      <w:r w:rsidRPr="0027397C">
        <w:t>Worried about someone else's gambling?</w:t>
      </w:r>
    </w:p>
    <w:p w14:paraId="45D8B760" w14:textId="77777777" w:rsidR="0027397C" w:rsidRPr="0027397C" w:rsidRDefault="0027397C" w:rsidP="00172DDE">
      <w:r w:rsidRPr="0027397C">
        <w:t>If you're worried that someone you know is having issues with gambling, having a conversation with them can let them know you care, and encourage them to get help. Talking to someone sooner rather than later can make a big difference.</w:t>
      </w:r>
    </w:p>
    <w:p w14:paraId="25FFAA87" w14:textId="77777777" w:rsidR="0027397C" w:rsidRPr="0027397C" w:rsidRDefault="0027397C" w:rsidP="00172DDE">
      <w:r w:rsidRPr="0027397C">
        <w:t>LEARN MORE:</w:t>
      </w:r>
    </w:p>
    <w:p w14:paraId="5C3DCFEA" w14:textId="77777777" w:rsidR="0027397C" w:rsidRPr="0027397C" w:rsidRDefault="0027397C" w:rsidP="00172DDE">
      <w:pPr>
        <w:pStyle w:val="ListParagraph"/>
        <w:numPr>
          <w:ilvl w:val="0"/>
          <w:numId w:val="20"/>
        </w:numPr>
      </w:pPr>
      <w:hyperlink r:id="rId16" w:history="1">
        <w:r w:rsidRPr="0027397C">
          <w:rPr>
            <w:rStyle w:val="Hyperlink"/>
          </w:rPr>
          <w:t>Three steps to help you prepare for a conversation</w:t>
        </w:r>
      </w:hyperlink>
    </w:p>
    <w:p w14:paraId="4A5E19CD" w14:textId="77777777" w:rsidR="0027397C" w:rsidRPr="0027397C" w:rsidRDefault="0027397C" w:rsidP="00172DDE">
      <w:pPr>
        <w:pStyle w:val="ListParagraph"/>
        <w:numPr>
          <w:ilvl w:val="0"/>
          <w:numId w:val="20"/>
        </w:numPr>
      </w:pPr>
      <w:hyperlink r:id="rId17" w:history="1">
        <w:r w:rsidRPr="0027397C">
          <w:rPr>
            <w:rStyle w:val="Hyperlink"/>
          </w:rPr>
          <w:t>How to have a conversation with someone about their gambling</w:t>
        </w:r>
      </w:hyperlink>
    </w:p>
    <w:p w14:paraId="1710A67E" w14:textId="77777777" w:rsidR="0027397C" w:rsidRPr="0027397C" w:rsidRDefault="0027397C" w:rsidP="00172DDE">
      <w:pPr>
        <w:pStyle w:val="Heading1"/>
      </w:pPr>
      <w:r w:rsidRPr="0027397C">
        <w:t>Get support</w:t>
      </w:r>
    </w:p>
    <w:p w14:paraId="74CFDB27" w14:textId="77777777" w:rsidR="0027397C" w:rsidRPr="0027397C" w:rsidRDefault="0027397C" w:rsidP="00172DDE">
      <w:hyperlink r:id="rId18" w:history="1">
        <w:r w:rsidRPr="0027397C">
          <w:rPr>
            <w:rStyle w:val="Hyperlink"/>
          </w:rPr>
          <w:t>Gambler's Help Youthline</w:t>
        </w:r>
      </w:hyperlink>
      <w:r w:rsidRPr="0027397C">
        <w:t> is there to support you if you are worried about your own or someone else's gambling. Call </w:t>
      </w:r>
      <w:r w:rsidRPr="0027397C">
        <w:rPr>
          <w:b/>
          <w:bCs/>
        </w:rPr>
        <w:t>1800 262 376</w:t>
      </w:r>
      <w:r w:rsidRPr="0027397C">
        <w:t> for advice and support, 24 hours a day, seven days a week.</w:t>
      </w:r>
    </w:p>
    <w:p w14:paraId="65176DE3" w14:textId="77777777" w:rsidR="0027397C" w:rsidRPr="0027397C" w:rsidRDefault="0027397C" w:rsidP="00172DDE">
      <w:r w:rsidRPr="0027397C">
        <w:t>It's anonymous, confidential and free.</w:t>
      </w:r>
    </w:p>
    <w:p w14:paraId="4EDF8E15" w14:textId="77777777" w:rsidR="0027397C" w:rsidRPr="00172DDE" w:rsidRDefault="0027397C" w:rsidP="00172DDE">
      <w:hyperlink r:id="rId19" w:history="1">
        <w:r w:rsidRPr="00172DDE">
          <w:rPr>
            <w:rStyle w:val="Hyperlink"/>
          </w:rPr>
          <w:t>Find more support options</w:t>
        </w:r>
      </w:hyperlink>
    </w:p>
    <w:p w14:paraId="3D1620BC" w14:textId="2F2E23C0" w:rsidR="0057436D" w:rsidRDefault="0057436D" w:rsidP="00172DDE"/>
    <w:p w14:paraId="410CD8FD" w14:textId="1954F425" w:rsidR="00172DDE" w:rsidRPr="001C3317" w:rsidRDefault="00172DDE" w:rsidP="00172DDE">
      <w:pPr>
        <w:pStyle w:val="Heading1"/>
      </w:pPr>
      <w:r>
        <w:t>Source</w:t>
      </w:r>
    </w:p>
    <w:sectPr w:rsidR="00172DDE" w:rsidRPr="001C3317" w:rsidSect="007A4AD3">
      <w:headerReference w:type="default" r:id="rId20"/>
      <w:footerReference w:type="even" r:id="rId21"/>
      <w:footerReference w:type="default" r:id="rId22"/>
      <w:footerReference w:type="first" r:id="rId23"/>
      <w:pgSz w:w="11906" w:h="16838"/>
      <w:pgMar w:top="1440" w:right="1440" w:bottom="1276" w:left="1440"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EF68" w14:textId="77777777" w:rsidR="00AC58F1" w:rsidRDefault="00AC58F1" w:rsidP="001C3317">
      <w:pPr>
        <w:spacing w:after="0" w:line="240" w:lineRule="auto"/>
      </w:pPr>
      <w:r>
        <w:separator/>
      </w:r>
    </w:p>
  </w:endnote>
  <w:endnote w:type="continuationSeparator" w:id="0">
    <w:p w14:paraId="4D819C84" w14:textId="77777777" w:rsidR="00AC58F1" w:rsidRDefault="00AC58F1" w:rsidP="001C3317">
      <w:pPr>
        <w:spacing w:after="0" w:line="240" w:lineRule="auto"/>
      </w:pPr>
      <w:r>
        <w:continuationSeparator/>
      </w:r>
    </w:p>
  </w:endnote>
  <w:endnote w:id="1">
    <w:p w14:paraId="07D92FE6" w14:textId="122BA38D" w:rsidR="00172DDE" w:rsidRPr="001C3317" w:rsidRDefault="00172DDE" w:rsidP="00172DDE">
      <w:r>
        <w:rPr>
          <w:rStyle w:val="EndnoteReference"/>
        </w:rPr>
        <w:endnoteRef/>
      </w:r>
      <w:r>
        <w:t xml:space="preserve"> </w:t>
      </w:r>
      <w:r w:rsidRPr="00172DDE">
        <w:t>Nielsen Ad Intel, Biggest Ad Spenders of 2025 Report</w:t>
      </w:r>
    </w:p>
    <w:p w14:paraId="4388B8C8" w14:textId="320F45C0" w:rsidR="00172DDE" w:rsidRPr="0027397C" w:rsidRDefault="00172DDE" w:rsidP="00172DDE">
      <w:pPr>
        <w:pStyle w:val="Heading1"/>
      </w:pPr>
    </w:p>
    <w:p w14:paraId="3F817358" w14:textId="6F25997C" w:rsidR="00172DDE" w:rsidRPr="00172DDE" w:rsidRDefault="00172DDE">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F45D" w14:textId="274E2D1B" w:rsidR="0076376A" w:rsidRDefault="0076376A">
    <w:pPr>
      <w:pStyle w:val="Footer"/>
    </w:pPr>
    <w:r>
      <w:rPr>
        <w:noProof/>
      </w:rPr>
      <mc:AlternateContent>
        <mc:Choice Requires="wps">
          <w:drawing>
            <wp:anchor distT="0" distB="0" distL="0" distR="0" simplePos="0" relativeHeight="251658241" behindDoc="0" locked="0" layoutInCell="1" allowOverlap="1" wp14:anchorId="7D253E92" wp14:editId="591B32B7">
              <wp:simplePos x="635" y="635"/>
              <wp:positionH relativeFrom="page">
                <wp:align>center</wp:align>
              </wp:positionH>
              <wp:positionV relativeFrom="page">
                <wp:align>bottom</wp:align>
              </wp:positionV>
              <wp:extent cx="656590" cy="398145"/>
              <wp:effectExtent l="0" t="0" r="10160" b="0"/>
              <wp:wrapNone/>
              <wp:docPr id="12167585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253E92" id="_x0000_t202" coordsize="21600,21600" o:spt="202" path="m,l,21600r21600,l21600,xe">
              <v:stroke joinstyle="miter"/>
              <v:path gradientshapeok="t" o:connecttype="rect"/>
            </v:shapetype>
            <v:shape id="Text Box 4" o:spid="_x0000_s1026" type="#_x0000_t202" alt="OFFICIAL" style="position:absolute;margin-left:0;margin-top:0;width:51.7pt;height:31.3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" filled="f" stroked="f">
              <v:textbox style="mso-fit-shape-to-text:t" inset="0,0,0,15pt">
                <w:txbxContent>
                  <w:p w14:paraId="4861B483" w14:textId="6756D0BE"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160A" w14:textId="4410B1C2" w:rsidR="00D72DB7" w:rsidRDefault="0076376A" w:rsidP="007A4AD3">
    <w:pPr>
      <w:pStyle w:val="Footer"/>
      <w:pBdr>
        <w:top w:val="single" w:sz="4" w:space="1" w:color="156082" w:themeColor="accent1"/>
      </w:pBdr>
      <w:jc w:val="right"/>
    </w:pPr>
    <w:r>
      <w:rPr>
        <w:noProof/>
      </w:rPr>
      <mc:AlternateContent>
        <mc:Choice Requires="wps">
          <w:drawing>
            <wp:anchor distT="0" distB="0" distL="0" distR="0" simplePos="0" relativeHeight="251658242" behindDoc="0" locked="0" layoutInCell="1" allowOverlap="1" wp14:anchorId="62A85E74" wp14:editId="2C810582">
              <wp:simplePos x="914400" y="9867900"/>
              <wp:positionH relativeFrom="page">
                <wp:align>center</wp:align>
              </wp:positionH>
              <wp:positionV relativeFrom="page">
                <wp:align>bottom</wp:align>
              </wp:positionV>
              <wp:extent cx="656590" cy="398145"/>
              <wp:effectExtent l="0" t="0" r="10160" b="0"/>
              <wp:wrapNone/>
              <wp:docPr id="1744455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A85E74" id="_x0000_t202" coordsize="21600,21600" o:spt="202" path="m,l,21600r21600,l21600,xe">
              <v:stroke joinstyle="miter"/>
              <v:path gradientshapeok="t" o:connecttype="rect"/>
            </v:shapetype>
            <v:shape id="Text Box 5" o:spid="_x0000_s1027" type="#_x0000_t202" alt="OFFICIAL" style="position:absolute;left:0;text-align:left;margin-left:0;margin-top:0;width:51.7pt;height:31.3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" filled="f" stroked="f">
              <v:textbox style="mso-fit-shape-to-text:t" inset="0,0,0,15pt">
                <w:txbxContent>
                  <w:p w14:paraId="512390ED" w14:textId="5C7BAE76" w:rsidR="0076376A" w:rsidRPr="008467A6" w:rsidRDefault="0076376A" w:rsidP="0076376A">
                    <w:pPr>
                      <w:spacing w:after="0"/>
                      <w:rPr>
                        <w:rFonts w:ascii="Arial Black" w:eastAsia="Arial Black" w:hAnsi="Arial Black" w:cs="Arial Black"/>
                        <w:noProof/>
                        <w:color w:val="FFFFFF" w:themeColor="background1"/>
                        <w:sz w:val="20"/>
                        <w:szCs w:val="20"/>
                      </w:rPr>
                    </w:pPr>
                    <w:r w:rsidRPr="008467A6">
                      <w:rPr>
                        <w:rFonts w:ascii="Arial Black" w:eastAsia="Arial Black" w:hAnsi="Arial Black" w:cs="Arial Black"/>
                        <w:noProof/>
                        <w:color w:val="FFFFFF" w:themeColor="background1"/>
                        <w:sz w:val="20"/>
                        <w:szCs w:val="20"/>
                      </w:rPr>
                      <w:t>OFFICIAL</w:t>
                    </w:r>
                  </w:p>
                </w:txbxContent>
              </v:textbox>
              <w10:wrap anchorx="page" anchory="page"/>
            </v:shape>
          </w:pict>
        </mc:Fallback>
      </mc:AlternateContent>
    </w:r>
    <w:hyperlink r:id="rId1" w:history="1">
      <w:r w:rsidR="007A4AD3" w:rsidRPr="00FB1C06">
        <w:rPr>
          <w:rStyle w:val="Hyperlink"/>
        </w:rPr>
        <w:t>www.beaheadofthegame.vic.gov.au</w:t>
      </w:r>
    </w:hyperlink>
    <w:r w:rsidR="007A4AD3">
      <w:tab/>
    </w:r>
    <w:r w:rsidR="007A4AD3">
      <w:tab/>
    </w:r>
    <w:sdt>
      <w:sdtPr>
        <w:id w:val="-643426864"/>
        <w:docPartObj>
          <w:docPartGallery w:val="Page Numbers (Bottom of Page)"/>
          <w:docPartUnique/>
        </w:docPartObj>
      </w:sdtPr>
      <w:sdtEndPr>
        <w:rPr>
          <w:noProof/>
        </w:rPr>
      </w:sdtEndPr>
      <w:sdtContent>
        <w:r w:rsidR="00D72DB7">
          <w:fldChar w:fldCharType="begin"/>
        </w:r>
        <w:r w:rsidR="00D72DB7">
          <w:instrText xml:space="preserve"> PAGE   \* MERGEFORMAT </w:instrText>
        </w:r>
        <w:r w:rsidR="00D72DB7">
          <w:fldChar w:fldCharType="separate"/>
        </w:r>
        <w:r w:rsidR="00D72DB7">
          <w:rPr>
            <w:noProof/>
          </w:rPr>
          <w:t>2</w:t>
        </w:r>
        <w:r w:rsidR="00D72DB7">
          <w:rPr>
            <w:noProof/>
          </w:rPr>
          <w:fldChar w:fldCharType="end"/>
        </w:r>
      </w:sdtContent>
    </w:sdt>
  </w:p>
  <w:p w14:paraId="2705D37E" w14:textId="77777777" w:rsidR="00D72DB7" w:rsidRDefault="00D72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FA8" w14:textId="193A9DC4" w:rsidR="0076376A" w:rsidRDefault="0076376A">
    <w:pPr>
      <w:pStyle w:val="Footer"/>
    </w:pPr>
    <w:r>
      <w:rPr>
        <w:noProof/>
      </w:rPr>
      <mc:AlternateContent>
        <mc:Choice Requires="wps">
          <w:drawing>
            <wp:anchor distT="0" distB="0" distL="0" distR="0" simplePos="0" relativeHeight="251658240" behindDoc="0" locked="0" layoutInCell="1" allowOverlap="1" wp14:anchorId="78C327D0" wp14:editId="71143903">
              <wp:simplePos x="635" y="635"/>
              <wp:positionH relativeFrom="page">
                <wp:align>center</wp:align>
              </wp:positionH>
              <wp:positionV relativeFrom="page">
                <wp:align>bottom</wp:align>
              </wp:positionV>
              <wp:extent cx="656590" cy="398145"/>
              <wp:effectExtent l="0" t="0" r="10160" b="0"/>
              <wp:wrapNone/>
              <wp:docPr id="8276760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98145"/>
                      </a:xfrm>
                      <a:prstGeom prst="rect">
                        <a:avLst/>
                      </a:prstGeom>
                      <a:noFill/>
                      <a:ln>
                        <a:noFill/>
                      </a:ln>
                    </wps:spPr>
                    <wps:txbx>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C327D0" id="_x0000_t202" coordsize="21600,21600" o:spt="202" path="m,l,21600r21600,l21600,xe">
              <v:stroke joinstyle="miter"/>
              <v:path gradientshapeok="t" o:connecttype="rect"/>
            </v:shapetype>
            <v:shape id="Text Box 3" o:spid="_x0000_s1028" type="#_x0000_t202" alt="OFFICIAL" style="position:absolute;margin-left:0;margin-top:0;width:51.7pt;height:31.3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" filled="f" stroked="f">
              <v:textbox style="mso-fit-shape-to-text:t" inset="0,0,0,15pt">
                <w:txbxContent>
                  <w:p w14:paraId="2E5176EC" w14:textId="064C1368" w:rsidR="0076376A" w:rsidRPr="0076376A" w:rsidRDefault="0076376A" w:rsidP="0076376A">
                    <w:pPr>
                      <w:spacing w:after="0"/>
                      <w:rPr>
                        <w:rFonts w:ascii="Arial Black" w:eastAsia="Arial Black" w:hAnsi="Arial Black" w:cs="Arial Black"/>
                        <w:noProof/>
                        <w:color w:val="000000"/>
                        <w:sz w:val="20"/>
                        <w:szCs w:val="20"/>
                      </w:rPr>
                    </w:pPr>
                    <w:r w:rsidRPr="0076376A">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D93F7" w14:textId="77777777" w:rsidR="00AC58F1" w:rsidRDefault="00AC58F1" w:rsidP="001C3317">
      <w:pPr>
        <w:spacing w:after="0" w:line="240" w:lineRule="auto"/>
      </w:pPr>
      <w:r>
        <w:separator/>
      </w:r>
    </w:p>
  </w:footnote>
  <w:footnote w:type="continuationSeparator" w:id="0">
    <w:p w14:paraId="0B5248A8" w14:textId="77777777" w:rsidR="00AC58F1" w:rsidRDefault="00AC58F1" w:rsidP="001C3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D8B" w14:textId="79F4CF22" w:rsidR="001C3317" w:rsidRPr="001C3317" w:rsidRDefault="001C3317" w:rsidP="001C3317">
    <w:pPr>
      <w:pStyle w:val="Header"/>
      <w:jc w:val="right"/>
      <w:rPr>
        <w:b/>
        <w:bCs/>
      </w:rPr>
    </w:pPr>
    <w:r w:rsidRPr="001C3317">
      <w:rPr>
        <w:b/>
        <w:bCs/>
      </w:rPr>
      <w:t>FACTSHEET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EC"/>
    <w:multiLevelType w:val="multilevel"/>
    <w:tmpl w:val="E07C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4350E"/>
    <w:multiLevelType w:val="multilevel"/>
    <w:tmpl w:val="22BA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27859"/>
    <w:multiLevelType w:val="hybridMultilevel"/>
    <w:tmpl w:val="00A86458"/>
    <w:lvl w:ilvl="0" w:tplc="4DA64C4A">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C35E27"/>
    <w:multiLevelType w:val="multilevel"/>
    <w:tmpl w:val="9AB0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A978E3"/>
    <w:multiLevelType w:val="hybridMultilevel"/>
    <w:tmpl w:val="D88C2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7A34E2"/>
    <w:multiLevelType w:val="multilevel"/>
    <w:tmpl w:val="EB74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6828AD"/>
    <w:multiLevelType w:val="hybridMultilevel"/>
    <w:tmpl w:val="438E2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F83007"/>
    <w:multiLevelType w:val="hybridMultilevel"/>
    <w:tmpl w:val="74429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0C4D97"/>
    <w:multiLevelType w:val="multilevel"/>
    <w:tmpl w:val="C342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7A474A"/>
    <w:multiLevelType w:val="hybridMultilevel"/>
    <w:tmpl w:val="5874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147367"/>
    <w:multiLevelType w:val="hybridMultilevel"/>
    <w:tmpl w:val="0FC09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4B4501"/>
    <w:multiLevelType w:val="hybridMultilevel"/>
    <w:tmpl w:val="D7D0D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D81FA8"/>
    <w:multiLevelType w:val="multilevel"/>
    <w:tmpl w:val="606E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943B1D"/>
    <w:multiLevelType w:val="hybridMultilevel"/>
    <w:tmpl w:val="1E145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35352F"/>
    <w:multiLevelType w:val="hybridMultilevel"/>
    <w:tmpl w:val="2EFAA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761A39"/>
    <w:multiLevelType w:val="hybridMultilevel"/>
    <w:tmpl w:val="6AD84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DD4AE7"/>
    <w:multiLevelType w:val="multilevel"/>
    <w:tmpl w:val="9CAC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3378F5"/>
    <w:multiLevelType w:val="multilevel"/>
    <w:tmpl w:val="22AE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9C385D"/>
    <w:multiLevelType w:val="multilevel"/>
    <w:tmpl w:val="1AFE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8E21B0"/>
    <w:multiLevelType w:val="hybridMultilevel"/>
    <w:tmpl w:val="09462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703338"/>
    <w:multiLevelType w:val="hybridMultilevel"/>
    <w:tmpl w:val="4E326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3334349">
    <w:abstractNumId w:val="14"/>
  </w:num>
  <w:num w:numId="2" w16cid:durableId="1772508569">
    <w:abstractNumId w:val="2"/>
  </w:num>
  <w:num w:numId="3" w16cid:durableId="951935230">
    <w:abstractNumId w:val="8"/>
  </w:num>
  <w:num w:numId="4" w16cid:durableId="725447758">
    <w:abstractNumId w:val="4"/>
  </w:num>
  <w:num w:numId="5" w16cid:durableId="257762050">
    <w:abstractNumId w:val="0"/>
  </w:num>
  <w:num w:numId="6" w16cid:durableId="1796562546">
    <w:abstractNumId w:val="5"/>
  </w:num>
  <w:num w:numId="7" w16cid:durableId="1190334813">
    <w:abstractNumId w:val="11"/>
  </w:num>
  <w:num w:numId="8" w16cid:durableId="254636654">
    <w:abstractNumId w:val="6"/>
  </w:num>
  <w:num w:numId="9" w16cid:durableId="103158500">
    <w:abstractNumId w:val="17"/>
  </w:num>
  <w:num w:numId="10" w16cid:durableId="1105732822">
    <w:abstractNumId w:val="16"/>
  </w:num>
  <w:num w:numId="11" w16cid:durableId="1487167642">
    <w:abstractNumId w:val="7"/>
  </w:num>
  <w:num w:numId="12" w16cid:durableId="151990367">
    <w:abstractNumId w:val="13"/>
  </w:num>
  <w:num w:numId="13" w16cid:durableId="713314328">
    <w:abstractNumId w:val="12"/>
  </w:num>
  <w:num w:numId="14" w16cid:durableId="1963227220">
    <w:abstractNumId w:val="18"/>
  </w:num>
  <w:num w:numId="15" w16cid:durableId="2049604883">
    <w:abstractNumId w:val="1"/>
  </w:num>
  <w:num w:numId="16" w16cid:durableId="1098720172">
    <w:abstractNumId w:val="3"/>
  </w:num>
  <w:num w:numId="17" w16cid:durableId="2068141937">
    <w:abstractNumId w:val="9"/>
  </w:num>
  <w:num w:numId="18" w16cid:durableId="593243695">
    <w:abstractNumId w:val="20"/>
  </w:num>
  <w:num w:numId="19" w16cid:durableId="401562465">
    <w:abstractNumId w:val="19"/>
  </w:num>
  <w:num w:numId="20" w16cid:durableId="884566775">
    <w:abstractNumId w:val="15"/>
  </w:num>
  <w:num w:numId="21" w16cid:durableId="124545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317"/>
    <w:rsid w:val="000174CE"/>
    <w:rsid w:val="00172DDE"/>
    <w:rsid w:val="001753E3"/>
    <w:rsid w:val="001C3317"/>
    <w:rsid w:val="001D411B"/>
    <w:rsid w:val="0027397C"/>
    <w:rsid w:val="002C01DE"/>
    <w:rsid w:val="002F0B30"/>
    <w:rsid w:val="003C0E37"/>
    <w:rsid w:val="003E6429"/>
    <w:rsid w:val="00477B16"/>
    <w:rsid w:val="004A484E"/>
    <w:rsid w:val="004A7D05"/>
    <w:rsid w:val="0057436D"/>
    <w:rsid w:val="00650338"/>
    <w:rsid w:val="00660292"/>
    <w:rsid w:val="006D42CE"/>
    <w:rsid w:val="006F1782"/>
    <w:rsid w:val="00716DCE"/>
    <w:rsid w:val="0076376A"/>
    <w:rsid w:val="007A4AD3"/>
    <w:rsid w:val="00840C26"/>
    <w:rsid w:val="008462F7"/>
    <w:rsid w:val="008467A6"/>
    <w:rsid w:val="008B13B2"/>
    <w:rsid w:val="00905375"/>
    <w:rsid w:val="00936818"/>
    <w:rsid w:val="00957D07"/>
    <w:rsid w:val="00A60AF1"/>
    <w:rsid w:val="00AC58F1"/>
    <w:rsid w:val="00BD3C56"/>
    <w:rsid w:val="00BF52FB"/>
    <w:rsid w:val="00D72DB7"/>
    <w:rsid w:val="00D83FAD"/>
    <w:rsid w:val="00F052E1"/>
    <w:rsid w:val="00FA5F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51CCA"/>
  <w15:chartTrackingRefBased/>
  <w15:docId w15:val="{122EBF69-0EBC-4CFE-869B-161326BF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3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3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3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3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317"/>
    <w:rPr>
      <w:rFonts w:eastAsiaTheme="majorEastAsia" w:cstheme="majorBidi"/>
      <w:color w:val="272727" w:themeColor="text1" w:themeTint="D8"/>
    </w:rPr>
  </w:style>
  <w:style w:type="paragraph" w:styleId="Title">
    <w:name w:val="Title"/>
    <w:basedOn w:val="Normal"/>
    <w:next w:val="Normal"/>
    <w:link w:val="TitleChar"/>
    <w:uiPriority w:val="10"/>
    <w:qFormat/>
    <w:rsid w:val="001C3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317"/>
    <w:pPr>
      <w:spacing w:before="160"/>
      <w:jc w:val="center"/>
    </w:pPr>
    <w:rPr>
      <w:i/>
      <w:iCs/>
      <w:color w:val="404040" w:themeColor="text1" w:themeTint="BF"/>
    </w:rPr>
  </w:style>
  <w:style w:type="character" w:customStyle="1" w:styleId="QuoteChar">
    <w:name w:val="Quote Char"/>
    <w:basedOn w:val="DefaultParagraphFont"/>
    <w:link w:val="Quote"/>
    <w:uiPriority w:val="29"/>
    <w:rsid w:val="001C3317"/>
    <w:rPr>
      <w:i/>
      <w:iCs/>
      <w:color w:val="404040" w:themeColor="text1" w:themeTint="BF"/>
    </w:rPr>
  </w:style>
  <w:style w:type="paragraph" w:styleId="ListParagraph">
    <w:name w:val="List Paragraph"/>
    <w:basedOn w:val="Normal"/>
    <w:uiPriority w:val="34"/>
    <w:qFormat/>
    <w:rsid w:val="001C3317"/>
    <w:pPr>
      <w:ind w:left="720"/>
      <w:contextualSpacing/>
    </w:pPr>
  </w:style>
  <w:style w:type="character" w:styleId="IntenseEmphasis">
    <w:name w:val="Intense Emphasis"/>
    <w:basedOn w:val="DefaultParagraphFont"/>
    <w:uiPriority w:val="21"/>
    <w:qFormat/>
    <w:rsid w:val="001C3317"/>
    <w:rPr>
      <w:i/>
      <w:iCs/>
      <w:color w:val="0F4761" w:themeColor="accent1" w:themeShade="BF"/>
    </w:rPr>
  </w:style>
  <w:style w:type="paragraph" w:styleId="IntenseQuote">
    <w:name w:val="Intense Quote"/>
    <w:basedOn w:val="Normal"/>
    <w:next w:val="Normal"/>
    <w:link w:val="IntenseQuoteChar"/>
    <w:uiPriority w:val="30"/>
    <w:qFormat/>
    <w:rsid w:val="001C3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317"/>
    <w:rPr>
      <w:i/>
      <w:iCs/>
      <w:color w:val="0F4761" w:themeColor="accent1" w:themeShade="BF"/>
    </w:rPr>
  </w:style>
  <w:style w:type="character" w:styleId="IntenseReference">
    <w:name w:val="Intense Reference"/>
    <w:basedOn w:val="DefaultParagraphFont"/>
    <w:uiPriority w:val="32"/>
    <w:qFormat/>
    <w:rsid w:val="001C3317"/>
    <w:rPr>
      <w:b/>
      <w:bCs/>
      <w:smallCaps/>
      <w:color w:val="0F4761" w:themeColor="accent1" w:themeShade="BF"/>
      <w:spacing w:val="5"/>
    </w:rPr>
  </w:style>
  <w:style w:type="paragraph" w:styleId="Header">
    <w:name w:val="header"/>
    <w:basedOn w:val="Normal"/>
    <w:link w:val="HeaderChar"/>
    <w:uiPriority w:val="99"/>
    <w:unhideWhenUsed/>
    <w:rsid w:val="001C3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317"/>
  </w:style>
  <w:style w:type="paragraph" w:styleId="Footer">
    <w:name w:val="footer"/>
    <w:basedOn w:val="Normal"/>
    <w:link w:val="FooterChar"/>
    <w:uiPriority w:val="99"/>
    <w:unhideWhenUsed/>
    <w:rsid w:val="001C3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317"/>
  </w:style>
  <w:style w:type="character" w:styleId="Hyperlink">
    <w:name w:val="Hyperlink"/>
    <w:basedOn w:val="DefaultParagraphFont"/>
    <w:uiPriority w:val="99"/>
    <w:unhideWhenUsed/>
    <w:rsid w:val="006D42CE"/>
    <w:rPr>
      <w:color w:val="467886" w:themeColor="hyperlink"/>
      <w:u w:val="single"/>
    </w:rPr>
  </w:style>
  <w:style w:type="character" w:styleId="UnresolvedMention">
    <w:name w:val="Unresolved Mention"/>
    <w:basedOn w:val="DefaultParagraphFont"/>
    <w:uiPriority w:val="99"/>
    <w:semiHidden/>
    <w:unhideWhenUsed/>
    <w:rsid w:val="006D42CE"/>
    <w:rPr>
      <w:color w:val="605E5C"/>
      <w:shd w:val="clear" w:color="auto" w:fill="E1DFDD"/>
    </w:rPr>
  </w:style>
  <w:style w:type="paragraph" w:styleId="NoSpacing">
    <w:name w:val="No Spacing"/>
    <w:uiPriority w:val="1"/>
    <w:qFormat/>
    <w:rsid w:val="00957D07"/>
    <w:pPr>
      <w:spacing w:after="0" w:line="240" w:lineRule="auto"/>
    </w:pPr>
  </w:style>
  <w:style w:type="character" w:styleId="FollowedHyperlink">
    <w:name w:val="FollowedHyperlink"/>
    <w:basedOn w:val="DefaultParagraphFont"/>
    <w:uiPriority w:val="99"/>
    <w:semiHidden/>
    <w:unhideWhenUsed/>
    <w:rsid w:val="0057436D"/>
    <w:rPr>
      <w:color w:val="96607D" w:themeColor="followedHyperlink"/>
      <w:u w:val="single"/>
    </w:rPr>
  </w:style>
  <w:style w:type="paragraph" w:styleId="FootnoteText">
    <w:name w:val="footnote text"/>
    <w:basedOn w:val="Normal"/>
    <w:link w:val="FootnoteTextChar"/>
    <w:uiPriority w:val="99"/>
    <w:semiHidden/>
    <w:unhideWhenUsed/>
    <w:rsid w:val="005743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36D"/>
    <w:rPr>
      <w:sz w:val="20"/>
      <w:szCs w:val="20"/>
    </w:rPr>
  </w:style>
  <w:style w:type="character" w:styleId="FootnoteReference">
    <w:name w:val="footnote reference"/>
    <w:basedOn w:val="DefaultParagraphFont"/>
    <w:uiPriority w:val="99"/>
    <w:semiHidden/>
    <w:unhideWhenUsed/>
    <w:rsid w:val="0057436D"/>
    <w:rPr>
      <w:vertAlign w:val="superscript"/>
    </w:rPr>
  </w:style>
  <w:style w:type="paragraph" w:styleId="EndnoteText">
    <w:name w:val="endnote text"/>
    <w:basedOn w:val="Normal"/>
    <w:link w:val="EndnoteTextChar"/>
    <w:uiPriority w:val="99"/>
    <w:semiHidden/>
    <w:unhideWhenUsed/>
    <w:rsid w:val="005743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436D"/>
    <w:rPr>
      <w:sz w:val="20"/>
      <w:szCs w:val="20"/>
    </w:rPr>
  </w:style>
  <w:style w:type="character" w:styleId="EndnoteReference">
    <w:name w:val="endnote reference"/>
    <w:basedOn w:val="DefaultParagraphFont"/>
    <w:uiPriority w:val="99"/>
    <w:semiHidden/>
    <w:unhideWhenUsed/>
    <w:rsid w:val="005743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gccc.vic.gov.au/for-community/gambling-victoria/gambling-data" TargetMode="External"/><Relationship Id="rId18" Type="http://schemas.openxmlformats.org/officeDocument/2006/relationships/hyperlink" Target="https://gamblershelp.com.au/get-help/under-25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gamblershelp.com.au/support-someone/how-to-talk-to-someone-about-their-gambl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amblershelp.com.au/support-someone/im-worried-about-someones-gambl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amblershelp.com.au/learn-about-gambling/gambling-and-how-it-affects-the-brai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dbaotg.responsiblegambling.vic.gov.au/whats-the-issue/get-sup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dbaotg.responsiblegambling.vic.gov.au/young-people/understanding-and-recognising-gambling-har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beaheadofthegam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8175da-692f-4ffd-8d30-578a731ab1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E67805AD127A4C891525FB74F01F75" ma:contentTypeVersion="12" ma:contentTypeDescription="Create a new document." ma:contentTypeScope="" ma:versionID="fe033e53e3d3bd85b46ce90e9b6b8030">
  <xsd:schema xmlns:xsd="http://www.w3.org/2001/XMLSchema" xmlns:xs="http://www.w3.org/2001/XMLSchema" xmlns:p="http://schemas.microsoft.com/office/2006/metadata/properties" xmlns:ns2="eb8175da-692f-4ffd-8d30-578a731ab18f" targetNamespace="http://schemas.microsoft.com/office/2006/metadata/properties" ma:root="true" ma:fieldsID="7646cd1a9a1d1fb7d3f09d2badbe9285" ns2:_="">
    <xsd:import namespace="eb8175da-692f-4ffd-8d30-578a731ab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175da-692f-4ffd-8d30-578a731ab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86740C-BE36-4F2B-981F-41009CA5BC84}">
  <ds:schemaRef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eb8175da-692f-4ffd-8d30-578a731ab18f"/>
  </ds:schemaRefs>
</ds:datastoreItem>
</file>

<file path=customXml/itemProps2.xml><?xml version="1.0" encoding="utf-8"?>
<ds:datastoreItem xmlns:ds="http://schemas.openxmlformats.org/officeDocument/2006/customXml" ds:itemID="{B3BD890D-F8E0-42F5-ABB0-E3CD15C0FF44}">
  <ds:schemaRefs>
    <ds:schemaRef ds:uri="http://schemas.openxmlformats.org/officeDocument/2006/bibliography"/>
  </ds:schemaRefs>
</ds:datastoreItem>
</file>

<file path=customXml/itemProps3.xml><?xml version="1.0" encoding="utf-8"?>
<ds:datastoreItem xmlns:ds="http://schemas.openxmlformats.org/officeDocument/2006/customXml" ds:itemID="{E5F23C6E-B4D9-41AD-B007-D6B45BD987EC}">
  <ds:schemaRefs>
    <ds:schemaRef ds:uri="http://schemas.microsoft.com/sharepoint/v3/contenttype/forms"/>
  </ds:schemaRefs>
</ds:datastoreItem>
</file>

<file path=customXml/itemProps4.xml><?xml version="1.0" encoding="utf-8"?>
<ds:datastoreItem xmlns:ds="http://schemas.openxmlformats.org/officeDocument/2006/customXml" ds:itemID="{3136A5AB-01FB-4C34-854C-D60B5FD6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175da-692f-4ffd-8d30-578a731ab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680</Words>
  <Characters>3444</Characters>
  <Application>Microsoft Office Word</Application>
  <DocSecurity>0</DocSecurity>
  <Lines>76</Lines>
  <Paragraphs>56</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vt:lpstr>
      <vt:lpstr>What is gambling?</vt:lpstr>
      <vt:lpstr>What gambling really costs</vt:lpstr>
      <vt:lpstr>What’s the big deal?</vt:lpstr>
      <vt:lpstr>The issue with gambling ads</vt:lpstr>
      <vt:lpstr/>
      <vt:lpstr>Source | Nielsen Ad Intel, Biggest Ad Spenders of 2025 Report</vt:lpstr>
      <vt:lpstr>How gambling affects the brain</vt:lpstr>
      <vt:lpstr>When people have a gambling win, the brain releases a feel-good chemical called </vt:lpstr>
      <vt:lpstr>But when people gamble often, their brains gets used to the dopamine, which can </vt:lpstr>
      <vt:lpstr>Some gambling products, like electronic gaming machines (pokies), make people fe</vt:lpstr>
      <vt:lpstr>LEARN MORE: How gambling affects the brain</vt:lpstr>
      <vt:lpstr>Gambling and how it affects the brain</vt:lpstr>
      <vt:lpstr>/</vt:lpstr>
      <vt:lpstr>Worried about someone else's gambling?</vt:lpstr>
      <vt:lpstr>If you're worried that someone you know is having issues with gambling, having a</vt:lpstr>
      <vt:lpstr>LEARN MORE:</vt:lpstr>
      <vt:lpstr>Three steps to help you prepare for a conversation</vt:lpstr>
      <vt:lpstr>How to have a conversation with someone about their gambling</vt:lpstr>
      <vt:lpstr>Get support</vt:lpstr>
      <vt:lpstr>Gambler's Help Youthline is there to support you if you are worried about your o</vt:lpstr>
      <vt:lpstr>It's anonymous, confidential and free.</vt:lpstr>
      <vt:lpstr>Find more support options</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Hince (Health)</dc:creator>
  <cp:keywords/>
  <dc:description/>
  <cp:lastModifiedBy>Andrea Hince (Health)</cp:lastModifiedBy>
  <cp:revision>8</cp:revision>
  <cp:lastPrinted>2026-03-05T05:17:00Z</cp:lastPrinted>
  <dcterms:created xsi:type="dcterms:W3CDTF">2026-02-22T22:14:00Z</dcterms:created>
  <dcterms:modified xsi:type="dcterms:W3CDTF">2026-03-05T05:27:00Z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4eeeef5,4886432a,a65d3f7</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2026-01-26T00:00:31Z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e40d0c3f-7cee-4f77-abad-6022d57c4a1e</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0x010100DCE67805AD127A4C891525FB74F01F75</vt:lpwstr>
  </property>
  <property fmtid="{D5CDD505-2E9C-101B-9397-08002B2CF9AE}" pid="14" name="docLang">
    <vt:lpwstr>en</vt:lpwstr>
  </property>
  <property fmtid="{D5CDD505-2E9C-101B-9397-08002B2CF9AE}" pid="15" name="MediaServiceImageTags">
    <vt:lpwstr/>
  </property>
</Properties>
</file>